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9A41" w14:textId="77777777" w:rsidR="009B5F91" w:rsidRPr="00AE0C62" w:rsidRDefault="009B5F91" w:rsidP="00073273">
      <w:pPr>
        <w:spacing w:after="0"/>
        <w:jc w:val="center"/>
        <w:rPr>
          <w:rFonts w:cs="Times New Roman"/>
          <w:b/>
          <w:sz w:val="20"/>
          <w:szCs w:val="20"/>
        </w:rPr>
      </w:pPr>
    </w:p>
    <w:p w14:paraId="3BE36842" w14:textId="54EB188F" w:rsidR="001B5E79" w:rsidRPr="00A2715C" w:rsidRDefault="001B5E79" w:rsidP="00073273">
      <w:pPr>
        <w:spacing w:after="0"/>
        <w:jc w:val="center"/>
        <w:rPr>
          <w:rFonts w:cs="Times New Roman"/>
          <w:b/>
          <w:sz w:val="28"/>
          <w:szCs w:val="28"/>
        </w:rPr>
      </w:pPr>
      <w:r w:rsidRPr="00A2715C">
        <w:rPr>
          <w:rFonts w:cs="Times New Roman"/>
          <w:b/>
          <w:sz w:val="28"/>
          <w:szCs w:val="28"/>
        </w:rPr>
        <w:t xml:space="preserve">Ogłoszenie o naborze wniosków na badania </w:t>
      </w:r>
      <w:r w:rsidR="00927471" w:rsidRPr="00A2715C">
        <w:rPr>
          <w:rFonts w:cs="Times New Roman"/>
          <w:b/>
          <w:sz w:val="28"/>
          <w:szCs w:val="28"/>
        </w:rPr>
        <w:t>przedwdrożeniowe</w:t>
      </w:r>
      <w:r w:rsidRPr="00A2715C">
        <w:rPr>
          <w:rFonts w:cs="Times New Roman"/>
          <w:b/>
          <w:sz w:val="28"/>
          <w:szCs w:val="28"/>
        </w:rPr>
        <w:t xml:space="preserve"> </w:t>
      </w:r>
    </w:p>
    <w:p w14:paraId="1E23921C" w14:textId="1C067A2D" w:rsidR="007C02F7" w:rsidRPr="00A2715C" w:rsidRDefault="00AC7C88" w:rsidP="00073273">
      <w:pPr>
        <w:spacing w:after="0"/>
        <w:jc w:val="center"/>
        <w:rPr>
          <w:rFonts w:cs="Times New Roman"/>
          <w:b/>
          <w:sz w:val="28"/>
          <w:szCs w:val="28"/>
        </w:rPr>
      </w:pPr>
      <w:r>
        <w:rPr>
          <w:rFonts w:cs="Times New Roman"/>
          <w:b/>
          <w:sz w:val="28"/>
          <w:szCs w:val="28"/>
        </w:rPr>
        <w:t>oraz</w:t>
      </w:r>
    </w:p>
    <w:p w14:paraId="55A8F664" w14:textId="16649B8B" w:rsidR="004B2968" w:rsidRPr="00A2715C" w:rsidRDefault="00AC7C88" w:rsidP="00073273">
      <w:pPr>
        <w:spacing w:after="0"/>
        <w:jc w:val="center"/>
        <w:rPr>
          <w:rFonts w:cs="Times New Roman"/>
          <w:b/>
          <w:sz w:val="28"/>
          <w:szCs w:val="28"/>
        </w:rPr>
      </w:pPr>
      <w:r>
        <w:rPr>
          <w:rFonts w:cs="Times New Roman"/>
          <w:b/>
          <w:sz w:val="28"/>
          <w:szCs w:val="28"/>
        </w:rPr>
        <w:t>t</w:t>
      </w:r>
      <w:r w:rsidR="00122DDA" w:rsidRPr="00A2715C">
        <w:rPr>
          <w:rFonts w:cs="Times New Roman"/>
          <w:b/>
          <w:sz w:val="28"/>
          <w:szCs w:val="28"/>
        </w:rPr>
        <w:t xml:space="preserve">ryb </w:t>
      </w:r>
      <w:r w:rsidR="008874AF" w:rsidRPr="00A2715C">
        <w:rPr>
          <w:rFonts w:cs="Times New Roman"/>
          <w:b/>
          <w:sz w:val="28"/>
          <w:szCs w:val="28"/>
        </w:rPr>
        <w:t xml:space="preserve">kwalifikacji </w:t>
      </w:r>
      <w:r w:rsidR="0019013E" w:rsidRPr="00A2715C">
        <w:rPr>
          <w:rFonts w:cs="Times New Roman"/>
          <w:b/>
          <w:sz w:val="28"/>
          <w:szCs w:val="28"/>
        </w:rPr>
        <w:t xml:space="preserve">Innowacji </w:t>
      </w:r>
      <w:r w:rsidR="00122DDA" w:rsidRPr="00A2715C">
        <w:rPr>
          <w:rFonts w:cs="Times New Roman"/>
          <w:b/>
          <w:sz w:val="28"/>
          <w:szCs w:val="28"/>
        </w:rPr>
        <w:t xml:space="preserve">Uniwersytetu Jagiellońskiego </w:t>
      </w:r>
      <w:r w:rsidR="0019013E" w:rsidRPr="00A2715C">
        <w:rPr>
          <w:rFonts w:cs="Times New Roman"/>
          <w:b/>
          <w:sz w:val="28"/>
          <w:szCs w:val="28"/>
        </w:rPr>
        <w:t xml:space="preserve">do dofinansowania </w:t>
      </w:r>
    </w:p>
    <w:p w14:paraId="4E013956" w14:textId="27802659" w:rsidR="00122DDA" w:rsidRDefault="0019013E" w:rsidP="00073273">
      <w:pPr>
        <w:spacing w:after="0"/>
        <w:jc w:val="center"/>
        <w:rPr>
          <w:rFonts w:cs="Times New Roman"/>
          <w:b/>
          <w:sz w:val="28"/>
          <w:szCs w:val="28"/>
        </w:rPr>
      </w:pPr>
      <w:r w:rsidRPr="00A2715C">
        <w:rPr>
          <w:rFonts w:cs="Times New Roman"/>
          <w:b/>
          <w:sz w:val="28"/>
          <w:szCs w:val="28"/>
        </w:rPr>
        <w:t xml:space="preserve">w ramach realizacji prac przedwdrożeniowych </w:t>
      </w:r>
      <w:r w:rsidR="00122DDA" w:rsidRPr="00A2715C">
        <w:rPr>
          <w:rFonts w:cs="Times New Roman"/>
          <w:b/>
          <w:sz w:val="28"/>
          <w:szCs w:val="28"/>
        </w:rPr>
        <w:t xml:space="preserve">ze środków </w:t>
      </w:r>
      <w:r w:rsidR="00E21ED2">
        <w:rPr>
          <w:rFonts w:cs="Times New Roman"/>
          <w:b/>
          <w:sz w:val="28"/>
          <w:szCs w:val="28"/>
        </w:rPr>
        <w:t>CTT CITTRU</w:t>
      </w:r>
    </w:p>
    <w:p w14:paraId="7F403FC5" w14:textId="77777777" w:rsidR="00093F04" w:rsidRPr="00A2715C" w:rsidRDefault="00093F04" w:rsidP="00073273">
      <w:pPr>
        <w:spacing w:after="0"/>
        <w:jc w:val="center"/>
        <w:rPr>
          <w:rFonts w:cs="Times New Roman"/>
          <w:b/>
          <w:sz w:val="28"/>
          <w:szCs w:val="28"/>
        </w:rPr>
      </w:pPr>
    </w:p>
    <w:p w14:paraId="6336AC4F" w14:textId="6FCE7304" w:rsidR="00AE0C62" w:rsidRPr="00772C3C" w:rsidRDefault="00AE0C62" w:rsidP="00772C3C">
      <w:pPr>
        <w:spacing w:after="0"/>
        <w:jc w:val="both"/>
        <w:rPr>
          <w:rFonts w:cs="Times New Roman"/>
          <w:sz w:val="20"/>
          <w:szCs w:val="20"/>
        </w:rPr>
      </w:pPr>
    </w:p>
    <w:p w14:paraId="62408DEC" w14:textId="77777777" w:rsidR="00772C3C" w:rsidRDefault="00772C3C" w:rsidP="00772C3C">
      <w:pPr>
        <w:pStyle w:val="Akapitzlist"/>
        <w:spacing w:after="0"/>
        <w:ind w:left="720"/>
        <w:jc w:val="both"/>
        <w:rPr>
          <w:rFonts w:cs="Times New Roman"/>
          <w:b w:val="0"/>
          <w:sz w:val="20"/>
          <w:szCs w:val="20"/>
        </w:rPr>
      </w:pPr>
    </w:p>
    <w:p w14:paraId="55EF7310" w14:textId="711FE8FD" w:rsidR="00AE0C62" w:rsidRDefault="00772C3C" w:rsidP="00073273">
      <w:pPr>
        <w:spacing w:after="0"/>
        <w:rPr>
          <w:rFonts w:cs="Times New Roman"/>
          <w:b/>
          <w:sz w:val="24"/>
          <w:szCs w:val="24"/>
        </w:rPr>
      </w:pPr>
      <w:r>
        <w:rPr>
          <w:rFonts w:cs="Times New Roman"/>
          <w:b/>
          <w:sz w:val="24"/>
          <w:szCs w:val="24"/>
        </w:rPr>
        <w:t>I</w:t>
      </w:r>
      <w:r w:rsidR="00AE0C62" w:rsidRPr="00B454FD">
        <w:rPr>
          <w:rFonts w:cs="Times New Roman"/>
          <w:b/>
          <w:sz w:val="24"/>
          <w:szCs w:val="24"/>
        </w:rPr>
        <w:t xml:space="preserve">. </w:t>
      </w:r>
      <w:r w:rsidR="00A2715C" w:rsidRPr="00B454FD">
        <w:rPr>
          <w:rFonts w:cs="Times New Roman"/>
          <w:b/>
          <w:sz w:val="24"/>
          <w:szCs w:val="24"/>
        </w:rPr>
        <w:t>Przeznaczenie i w</w:t>
      </w:r>
      <w:r w:rsidR="00AE0C62" w:rsidRPr="00B454FD">
        <w:rPr>
          <w:rFonts w:cs="Times New Roman"/>
          <w:b/>
          <w:sz w:val="24"/>
          <w:szCs w:val="24"/>
        </w:rPr>
        <w:t>ysokość dofinansowania.</w:t>
      </w:r>
    </w:p>
    <w:p w14:paraId="24D79AB9" w14:textId="77777777" w:rsidR="00772C3C" w:rsidRPr="00B454FD" w:rsidRDefault="00772C3C" w:rsidP="00073273">
      <w:pPr>
        <w:spacing w:after="0"/>
        <w:rPr>
          <w:rFonts w:cs="Times New Roman"/>
          <w:b/>
          <w:sz w:val="24"/>
          <w:szCs w:val="24"/>
        </w:rPr>
      </w:pPr>
    </w:p>
    <w:p w14:paraId="7AFB94D3" w14:textId="5103E3D9" w:rsidR="00772C3C" w:rsidRDefault="00772C3C" w:rsidP="00073273">
      <w:pPr>
        <w:pStyle w:val="Akapitzlist"/>
        <w:numPr>
          <w:ilvl w:val="0"/>
          <w:numId w:val="17"/>
        </w:numPr>
        <w:spacing w:after="0"/>
        <w:jc w:val="both"/>
        <w:rPr>
          <w:rFonts w:cs="Times New Roman"/>
          <w:b w:val="0"/>
          <w:sz w:val="20"/>
          <w:szCs w:val="20"/>
        </w:rPr>
      </w:pPr>
      <w:r w:rsidRPr="00AE0C62">
        <w:rPr>
          <w:rFonts w:cs="Times New Roman"/>
          <w:b w:val="0"/>
          <w:sz w:val="20"/>
          <w:szCs w:val="20"/>
        </w:rPr>
        <w:t xml:space="preserve">Centrum Transferu Technologii CITTRU UJ (dalej: CTT CITTRU) w ramach </w:t>
      </w:r>
      <w:r w:rsidR="00E21ED2">
        <w:rPr>
          <w:rFonts w:cs="Times New Roman"/>
          <w:b w:val="0"/>
          <w:sz w:val="20"/>
          <w:szCs w:val="20"/>
        </w:rPr>
        <w:t>działań</w:t>
      </w:r>
      <w:r w:rsidRPr="00AE0C62">
        <w:rPr>
          <w:rFonts w:cs="Times New Roman"/>
          <w:b w:val="0"/>
          <w:sz w:val="20"/>
          <w:szCs w:val="20"/>
        </w:rPr>
        <w:t xml:space="preserve"> ukierunkowany</w:t>
      </w:r>
      <w:r w:rsidR="00E21ED2">
        <w:rPr>
          <w:rFonts w:cs="Times New Roman"/>
          <w:b w:val="0"/>
          <w:sz w:val="20"/>
          <w:szCs w:val="20"/>
        </w:rPr>
        <w:t>ch</w:t>
      </w:r>
      <w:r w:rsidRPr="00AE0C62">
        <w:rPr>
          <w:rFonts w:cs="Times New Roman"/>
          <w:b w:val="0"/>
          <w:sz w:val="20"/>
          <w:szCs w:val="20"/>
        </w:rPr>
        <w:t xml:space="preserve"> na komercjalizację wyników badań naukowych </w:t>
      </w:r>
      <w:r w:rsidRPr="00AC7C88">
        <w:rPr>
          <w:rFonts w:cs="Times New Roman"/>
          <w:sz w:val="20"/>
          <w:szCs w:val="20"/>
        </w:rPr>
        <w:t>ogłasza konkurs na dofinansowanie prac przedwdrożeniowych</w:t>
      </w:r>
      <w:r w:rsidRPr="00AE0C62">
        <w:rPr>
          <w:rFonts w:cs="Times New Roman"/>
          <w:b w:val="0"/>
          <w:sz w:val="20"/>
          <w:szCs w:val="20"/>
        </w:rPr>
        <w:t>.</w:t>
      </w:r>
    </w:p>
    <w:p w14:paraId="5A8ACF4A" w14:textId="6171ED9C" w:rsidR="00AE0C62" w:rsidRDefault="00AC7C88" w:rsidP="00073273">
      <w:pPr>
        <w:pStyle w:val="Akapitzlist"/>
        <w:numPr>
          <w:ilvl w:val="0"/>
          <w:numId w:val="17"/>
        </w:numPr>
        <w:spacing w:after="0"/>
        <w:jc w:val="both"/>
        <w:rPr>
          <w:rFonts w:cs="Times New Roman"/>
          <w:b w:val="0"/>
          <w:sz w:val="20"/>
          <w:szCs w:val="20"/>
        </w:rPr>
      </w:pPr>
      <w:r>
        <w:rPr>
          <w:rFonts w:cs="Times New Roman"/>
          <w:b w:val="0"/>
          <w:sz w:val="20"/>
          <w:szCs w:val="20"/>
        </w:rPr>
        <w:t>D</w:t>
      </w:r>
      <w:r w:rsidR="00093F04" w:rsidRPr="00AE0C62">
        <w:rPr>
          <w:rFonts w:cs="Times New Roman"/>
          <w:b w:val="0"/>
          <w:sz w:val="20"/>
          <w:szCs w:val="20"/>
        </w:rPr>
        <w:t>la Innowacji opracowanych przez zespoły badawcze UJ (dalej: Innowacja)</w:t>
      </w:r>
      <w:r>
        <w:rPr>
          <w:rFonts w:cs="Times New Roman"/>
          <w:b w:val="0"/>
          <w:sz w:val="20"/>
          <w:szCs w:val="20"/>
        </w:rPr>
        <w:t xml:space="preserve"> s</w:t>
      </w:r>
      <w:r w:rsidR="00AE0C62" w:rsidRPr="00AE0C62">
        <w:rPr>
          <w:rFonts w:cs="Times New Roman"/>
          <w:b w:val="0"/>
          <w:sz w:val="20"/>
          <w:szCs w:val="20"/>
        </w:rPr>
        <w:t xml:space="preserve">finansowane </w:t>
      </w:r>
      <w:r>
        <w:rPr>
          <w:rFonts w:cs="Times New Roman"/>
          <w:b w:val="0"/>
          <w:sz w:val="20"/>
          <w:szCs w:val="20"/>
        </w:rPr>
        <w:t>zostaną</w:t>
      </w:r>
      <w:r w:rsidR="00AE0C62" w:rsidRPr="00AE0C62">
        <w:rPr>
          <w:rFonts w:cs="Times New Roman"/>
          <w:b w:val="0"/>
          <w:sz w:val="20"/>
          <w:szCs w:val="20"/>
        </w:rPr>
        <w:t xml:space="preserve"> działania związane z rea</w:t>
      </w:r>
      <w:r w:rsidR="00093F04">
        <w:rPr>
          <w:rFonts w:cs="Times New Roman"/>
          <w:b w:val="0"/>
          <w:sz w:val="20"/>
          <w:szCs w:val="20"/>
        </w:rPr>
        <w:t>lizacją procesu komercjalizacji i</w:t>
      </w:r>
      <w:r w:rsidR="00AE0C62" w:rsidRPr="00AE0C62">
        <w:rPr>
          <w:rFonts w:cs="Times New Roman"/>
          <w:b w:val="0"/>
          <w:sz w:val="20"/>
          <w:szCs w:val="20"/>
        </w:rPr>
        <w:t xml:space="preserve"> mające wpływ na sukces tego procesu, w tym prace badawcze zmierzające do podniesienia poziomu gotowości Innowacji do komercjalizacji.</w:t>
      </w:r>
    </w:p>
    <w:p w14:paraId="4CBD3A97" w14:textId="77777777" w:rsidR="00AE0C62" w:rsidRPr="00AE0C62" w:rsidRDefault="00AE0C62" w:rsidP="00073273">
      <w:pPr>
        <w:pStyle w:val="Akapitzlist"/>
        <w:numPr>
          <w:ilvl w:val="0"/>
          <w:numId w:val="17"/>
        </w:numPr>
        <w:spacing w:after="0"/>
        <w:jc w:val="both"/>
        <w:rPr>
          <w:rFonts w:cs="Times New Roman"/>
          <w:b w:val="0"/>
          <w:sz w:val="20"/>
          <w:szCs w:val="20"/>
        </w:rPr>
      </w:pPr>
      <w:r w:rsidRPr="00AE0C62">
        <w:rPr>
          <w:rFonts w:cs="Times New Roman"/>
          <w:b w:val="0"/>
          <w:sz w:val="20"/>
          <w:szCs w:val="20"/>
        </w:rPr>
        <w:t xml:space="preserve">Dofinansowanie może zostać przyznane na: </w:t>
      </w:r>
    </w:p>
    <w:p w14:paraId="127D80DC" w14:textId="5C32DB05" w:rsidR="00AE0C62" w:rsidRDefault="00093F04" w:rsidP="00073273">
      <w:pPr>
        <w:pStyle w:val="Akapitzlist"/>
        <w:numPr>
          <w:ilvl w:val="1"/>
          <w:numId w:val="17"/>
        </w:numPr>
        <w:spacing w:after="0"/>
        <w:jc w:val="both"/>
        <w:rPr>
          <w:rFonts w:cs="Times New Roman"/>
          <w:b w:val="0"/>
          <w:sz w:val="20"/>
          <w:szCs w:val="20"/>
        </w:rPr>
      </w:pPr>
      <w:r>
        <w:rPr>
          <w:rFonts w:cs="Times New Roman"/>
          <w:b w:val="0"/>
          <w:sz w:val="20"/>
          <w:szCs w:val="20"/>
        </w:rPr>
        <w:t>Wykonanie prototypu;</w:t>
      </w:r>
    </w:p>
    <w:p w14:paraId="73C52EC4" w14:textId="526E0EBF" w:rsidR="00AE0C62" w:rsidRPr="00093F04" w:rsidRDefault="00093F04" w:rsidP="00073273">
      <w:pPr>
        <w:pStyle w:val="Akapitzlist"/>
        <w:numPr>
          <w:ilvl w:val="1"/>
          <w:numId w:val="17"/>
        </w:numPr>
        <w:spacing w:after="0"/>
        <w:jc w:val="both"/>
        <w:rPr>
          <w:rFonts w:cs="Times New Roman"/>
          <w:b w:val="0"/>
          <w:sz w:val="20"/>
          <w:szCs w:val="20"/>
        </w:rPr>
      </w:pPr>
      <w:r w:rsidRPr="00093F04">
        <w:rPr>
          <w:rFonts w:cs="Times New Roman"/>
          <w:b w:val="0"/>
          <w:sz w:val="20"/>
          <w:szCs w:val="20"/>
        </w:rPr>
        <w:t>P</w:t>
      </w:r>
      <w:r w:rsidR="00AE0C62" w:rsidRPr="00093F04">
        <w:rPr>
          <w:rFonts w:cs="Times New Roman"/>
          <w:b w:val="0"/>
          <w:sz w:val="20"/>
          <w:szCs w:val="20"/>
        </w:rPr>
        <w:t xml:space="preserve">rzeprowadzenie badań typu </w:t>
      </w:r>
      <w:r w:rsidR="00AE0C62" w:rsidRPr="00093F04">
        <w:rPr>
          <w:rFonts w:cs="Times New Roman"/>
          <w:b w:val="0"/>
          <w:i/>
          <w:sz w:val="20"/>
          <w:szCs w:val="20"/>
        </w:rPr>
        <w:t xml:space="preserve">proof of </w:t>
      </w:r>
      <w:proofErr w:type="spellStart"/>
      <w:r w:rsidR="00AE0C62" w:rsidRPr="00093F04">
        <w:rPr>
          <w:rFonts w:cs="Times New Roman"/>
          <w:b w:val="0"/>
          <w:i/>
          <w:sz w:val="20"/>
          <w:szCs w:val="20"/>
        </w:rPr>
        <w:t>concept</w:t>
      </w:r>
      <w:proofErr w:type="spellEnd"/>
      <w:r>
        <w:rPr>
          <w:rFonts w:cs="Times New Roman"/>
          <w:b w:val="0"/>
          <w:sz w:val="20"/>
          <w:szCs w:val="20"/>
        </w:rPr>
        <w:t>;</w:t>
      </w:r>
    </w:p>
    <w:p w14:paraId="6EA013E8" w14:textId="00B14439" w:rsidR="00AE0C62" w:rsidRPr="00AE0C62" w:rsidRDefault="00093F04" w:rsidP="00073273">
      <w:pPr>
        <w:pStyle w:val="Akapitzlist"/>
        <w:numPr>
          <w:ilvl w:val="1"/>
          <w:numId w:val="17"/>
        </w:numPr>
        <w:spacing w:after="0"/>
        <w:jc w:val="both"/>
        <w:rPr>
          <w:rFonts w:cs="Times New Roman"/>
          <w:b w:val="0"/>
          <w:sz w:val="20"/>
          <w:szCs w:val="20"/>
        </w:rPr>
      </w:pPr>
      <w:r>
        <w:rPr>
          <w:rFonts w:cs="Times New Roman"/>
          <w:b w:val="0"/>
          <w:sz w:val="20"/>
          <w:szCs w:val="20"/>
        </w:rPr>
        <w:t>W</w:t>
      </w:r>
      <w:r w:rsidR="00AE0C62" w:rsidRPr="00AE0C62">
        <w:rPr>
          <w:rFonts w:cs="Times New Roman"/>
          <w:b w:val="0"/>
          <w:sz w:val="20"/>
          <w:szCs w:val="20"/>
        </w:rPr>
        <w:t>eryfikację</w:t>
      </w:r>
      <w:r>
        <w:rPr>
          <w:rFonts w:cs="Times New Roman"/>
          <w:b w:val="0"/>
          <w:sz w:val="20"/>
          <w:szCs w:val="20"/>
        </w:rPr>
        <w:t xml:space="preserve"> eksperymentalną cech Innowacji;</w:t>
      </w:r>
    </w:p>
    <w:p w14:paraId="0E288B1E" w14:textId="497A0DD9" w:rsidR="00AE0C62" w:rsidRPr="00AE0C62" w:rsidRDefault="00093F04" w:rsidP="00073273">
      <w:pPr>
        <w:pStyle w:val="Akapitzlist"/>
        <w:numPr>
          <w:ilvl w:val="1"/>
          <w:numId w:val="17"/>
        </w:numPr>
        <w:spacing w:after="0"/>
        <w:jc w:val="both"/>
        <w:rPr>
          <w:rFonts w:cs="Times New Roman"/>
          <w:b w:val="0"/>
          <w:sz w:val="20"/>
          <w:szCs w:val="20"/>
        </w:rPr>
      </w:pPr>
      <w:r>
        <w:rPr>
          <w:rFonts w:cs="Times New Roman"/>
          <w:b w:val="0"/>
          <w:sz w:val="20"/>
          <w:szCs w:val="20"/>
        </w:rPr>
        <w:t>P</w:t>
      </w:r>
      <w:r w:rsidR="00AE0C62" w:rsidRPr="00AE0C62">
        <w:rPr>
          <w:rFonts w:cs="Times New Roman"/>
          <w:b w:val="0"/>
          <w:sz w:val="20"/>
          <w:szCs w:val="20"/>
        </w:rPr>
        <w:t xml:space="preserve">rzeprowadzenie innych badań zwiększających potencjał komercyjny Innowacji </w:t>
      </w:r>
      <w:r w:rsidR="00772C3C">
        <w:rPr>
          <w:rFonts w:cs="Times New Roman"/>
          <w:b w:val="0"/>
          <w:sz w:val="20"/>
          <w:szCs w:val="20"/>
        </w:rPr>
        <w:br/>
      </w:r>
      <w:r w:rsidR="00AE0C62" w:rsidRPr="00AE0C62">
        <w:rPr>
          <w:rFonts w:cs="Times New Roman"/>
          <w:b w:val="0"/>
          <w:sz w:val="20"/>
          <w:szCs w:val="20"/>
        </w:rPr>
        <w:t>i umożliwiających oraz optymalizujących proces jej wdrożenia lub zwiększających poziom gotowości do wdrożenia lub możl</w:t>
      </w:r>
      <w:r>
        <w:rPr>
          <w:rFonts w:cs="Times New Roman"/>
          <w:b w:val="0"/>
          <w:sz w:val="20"/>
          <w:szCs w:val="20"/>
        </w:rPr>
        <w:t>iwość praktycznego zastosowania;</w:t>
      </w:r>
    </w:p>
    <w:p w14:paraId="1CAE1DE6" w14:textId="68B8EEC3" w:rsidR="00AE0C62" w:rsidRDefault="00093F04" w:rsidP="00073273">
      <w:pPr>
        <w:pStyle w:val="Akapitzlist"/>
        <w:numPr>
          <w:ilvl w:val="1"/>
          <w:numId w:val="17"/>
        </w:numPr>
        <w:spacing w:after="0"/>
        <w:jc w:val="both"/>
        <w:rPr>
          <w:rFonts w:cs="Times New Roman"/>
          <w:b w:val="0"/>
          <w:sz w:val="20"/>
          <w:szCs w:val="20"/>
        </w:rPr>
      </w:pPr>
      <w:r>
        <w:rPr>
          <w:rFonts w:cs="Times New Roman"/>
          <w:b w:val="0"/>
          <w:sz w:val="20"/>
          <w:szCs w:val="20"/>
        </w:rPr>
        <w:t>Z</w:t>
      </w:r>
      <w:r w:rsidR="00AE0C62" w:rsidRPr="00AE0C62">
        <w:rPr>
          <w:rFonts w:cs="Times New Roman"/>
          <w:b w:val="0"/>
          <w:sz w:val="20"/>
          <w:szCs w:val="20"/>
        </w:rPr>
        <w:t>akup usług eksperckich, w tym analiz i wycen.</w:t>
      </w:r>
    </w:p>
    <w:p w14:paraId="5A457378" w14:textId="77777777" w:rsidR="00AE0C62" w:rsidRPr="00AE0C62" w:rsidRDefault="00AE0C62" w:rsidP="00073273">
      <w:pPr>
        <w:numPr>
          <w:ilvl w:val="0"/>
          <w:numId w:val="17"/>
        </w:numPr>
        <w:spacing w:after="0"/>
        <w:jc w:val="both"/>
        <w:rPr>
          <w:rFonts w:cs="Times New Roman"/>
          <w:sz w:val="20"/>
          <w:szCs w:val="20"/>
        </w:rPr>
      </w:pPr>
      <w:r w:rsidRPr="00AE0C62">
        <w:rPr>
          <w:rFonts w:cs="Times New Roman"/>
          <w:sz w:val="20"/>
          <w:szCs w:val="20"/>
        </w:rPr>
        <w:t xml:space="preserve">Koszty kwalifikowane w ramach dofinansowania obejmują następujące kategorie wydatków: </w:t>
      </w:r>
    </w:p>
    <w:p w14:paraId="356BAA5F" w14:textId="2E56781E" w:rsidR="00AE0C62" w:rsidRDefault="00AE0C62" w:rsidP="00073273">
      <w:pPr>
        <w:numPr>
          <w:ilvl w:val="1"/>
          <w:numId w:val="17"/>
        </w:numPr>
        <w:spacing w:after="0"/>
        <w:ind w:left="1434" w:hanging="357"/>
        <w:jc w:val="both"/>
        <w:rPr>
          <w:rFonts w:cs="Times New Roman"/>
          <w:sz w:val="20"/>
          <w:szCs w:val="20"/>
        </w:rPr>
      </w:pPr>
      <w:r w:rsidRPr="00AE0C62">
        <w:rPr>
          <w:rFonts w:cs="Times New Roman"/>
          <w:sz w:val="20"/>
          <w:szCs w:val="20"/>
        </w:rPr>
        <w:t>Wynagrodzenia osób zaangażowanych bezpośrednio w realizację prac przedwdrożeniowych objętych wsparciem (personel badawczo-naukowy, techniczny i pomocniczy) – tylko jeśli niezbędne i uzasadnione, nie więcej niż 20% całkowitej wartości prac przedwdrożeniowych. Wynagrodzenia mogą być wypłacone jedynie osobom nie będącym twórcami Innowacji, których zaangażowanie jest niezbędne dla realizacji prac przedwdrożeniowych;</w:t>
      </w:r>
    </w:p>
    <w:p w14:paraId="7E73C7F0" w14:textId="1020F6DF" w:rsidR="00AE0C62" w:rsidRPr="00093F04" w:rsidRDefault="00AE0C62" w:rsidP="00073273">
      <w:pPr>
        <w:numPr>
          <w:ilvl w:val="1"/>
          <w:numId w:val="17"/>
        </w:numPr>
        <w:spacing w:after="0"/>
        <w:ind w:left="1434" w:hanging="357"/>
        <w:jc w:val="both"/>
        <w:rPr>
          <w:rFonts w:cs="Times New Roman"/>
          <w:sz w:val="20"/>
          <w:szCs w:val="20"/>
        </w:rPr>
      </w:pPr>
      <w:r w:rsidRPr="00093F04">
        <w:rPr>
          <w:rFonts w:cs="Times New Roman"/>
          <w:sz w:val="20"/>
          <w:szCs w:val="20"/>
        </w:rPr>
        <w:t>Wydatki na zakup materiałów i surowców;</w:t>
      </w:r>
    </w:p>
    <w:p w14:paraId="3ACA42B1" w14:textId="77777777" w:rsidR="00AE0C62" w:rsidRPr="00AE0C62" w:rsidRDefault="00AE0C62" w:rsidP="00073273">
      <w:pPr>
        <w:numPr>
          <w:ilvl w:val="1"/>
          <w:numId w:val="17"/>
        </w:numPr>
        <w:spacing w:after="0"/>
        <w:ind w:left="1434" w:hanging="357"/>
        <w:jc w:val="both"/>
        <w:rPr>
          <w:rFonts w:cs="Times New Roman"/>
          <w:sz w:val="20"/>
          <w:szCs w:val="20"/>
        </w:rPr>
      </w:pPr>
      <w:r w:rsidRPr="00AE0C62">
        <w:rPr>
          <w:rFonts w:cs="Times New Roman"/>
          <w:sz w:val="20"/>
          <w:szCs w:val="20"/>
        </w:rPr>
        <w:t>Koszty wynajmu aparatury naukowo-badawczej UJ określone na podstawie cenników zgodnych z wewnętrznym regulaminem UJ dotyczącym korzystania z infrastruktury;</w:t>
      </w:r>
    </w:p>
    <w:p w14:paraId="7C6D478E" w14:textId="63E25267" w:rsidR="00AE0C62" w:rsidRDefault="00AE0C62" w:rsidP="00073273">
      <w:pPr>
        <w:numPr>
          <w:ilvl w:val="1"/>
          <w:numId w:val="17"/>
        </w:numPr>
        <w:spacing w:after="0"/>
        <w:ind w:left="1434" w:hanging="357"/>
        <w:jc w:val="both"/>
        <w:rPr>
          <w:rFonts w:cs="Times New Roman"/>
          <w:sz w:val="20"/>
          <w:szCs w:val="20"/>
        </w:rPr>
      </w:pPr>
      <w:r w:rsidRPr="00AE0C62">
        <w:rPr>
          <w:rFonts w:cs="Times New Roman"/>
          <w:sz w:val="20"/>
          <w:szCs w:val="20"/>
        </w:rPr>
        <w:t>Wydatki na zakup zewnętrznych usług badawczych, analiz, raportów oraz ekspertyz;</w:t>
      </w:r>
    </w:p>
    <w:p w14:paraId="67A48751" w14:textId="5203E7B8" w:rsidR="00AE0C62" w:rsidRDefault="00AE0C62" w:rsidP="00073273">
      <w:pPr>
        <w:numPr>
          <w:ilvl w:val="1"/>
          <w:numId w:val="17"/>
        </w:numPr>
        <w:spacing w:after="0"/>
        <w:ind w:left="1434" w:hanging="357"/>
        <w:jc w:val="both"/>
        <w:rPr>
          <w:rFonts w:cs="Times New Roman"/>
          <w:sz w:val="20"/>
          <w:szCs w:val="20"/>
        </w:rPr>
      </w:pPr>
      <w:r w:rsidRPr="00AE0C62">
        <w:rPr>
          <w:rFonts w:cs="Times New Roman"/>
          <w:sz w:val="20"/>
          <w:szCs w:val="20"/>
        </w:rPr>
        <w:t>Koszty podróży służbowych związanych z badaniami przedwdrożeniowymi.</w:t>
      </w:r>
    </w:p>
    <w:p w14:paraId="47DC880A" w14:textId="6FA276C3" w:rsidR="00A2715C" w:rsidRPr="00772C3C" w:rsidRDefault="00A2715C" w:rsidP="00073273">
      <w:pPr>
        <w:numPr>
          <w:ilvl w:val="0"/>
          <w:numId w:val="17"/>
        </w:numPr>
        <w:spacing w:after="0"/>
        <w:ind w:hanging="357"/>
        <w:jc w:val="both"/>
        <w:rPr>
          <w:rFonts w:cs="Times New Roman"/>
          <w:sz w:val="20"/>
          <w:szCs w:val="20"/>
        </w:rPr>
      </w:pPr>
      <w:r w:rsidRPr="00AE0C62">
        <w:rPr>
          <w:rFonts w:cs="Times New Roman"/>
          <w:sz w:val="20"/>
          <w:szCs w:val="20"/>
        </w:rPr>
        <w:t xml:space="preserve">W ramach projektu Innowacja może uzyskać wsparcie w wysokości nie większej niż 50 tys. zł brutto </w:t>
      </w:r>
      <w:r w:rsidR="00093F04">
        <w:rPr>
          <w:rFonts w:cs="Times New Roman"/>
          <w:sz w:val="20"/>
          <w:szCs w:val="20"/>
        </w:rPr>
        <w:br/>
      </w:r>
      <w:r w:rsidRPr="00AE0C62">
        <w:rPr>
          <w:rFonts w:cs="Times New Roman"/>
          <w:sz w:val="20"/>
          <w:szCs w:val="20"/>
        </w:rPr>
        <w:t xml:space="preserve">z możliwością zwiększenia dofinansowania w szczególnie uzasadnionych przypadkach. Zwiększenie dofinansowania możliwe jest w trakcie realizacji badań ujętych we wniosku o dofinansowanie lub po ich zakończeniu i przedłożeniu przez Kierownika pracy </w:t>
      </w:r>
      <w:r w:rsidRPr="00772C3C">
        <w:rPr>
          <w:rFonts w:cs="Times New Roman"/>
          <w:sz w:val="20"/>
          <w:szCs w:val="20"/>
        </w:rPr>
        <w:t xml:space="preserve">przedwdrożeniowej (dalej: Kierownik) raportu </w:t>
      </w:r>
      <w:r w:rsidR="00093F04" w:rsidRPr="00772C3C">
        <w:rPr>
          <w:rFonts w:cs="Times New Roman"/>
          <w:sz w:val="20"/>
          <w:szCs w:val="20"/>
        </w:rPr>
        <w:br/>
      </w:r>
      <w:r w:rsidRPr="00772C3C">
        <w:rPr>
          <w:rFonts w:cs="Times New Roman"/>
          <w:sz w:val="20"/>
          <w:szCs w:val="20"/>
        </w:rPr>
        <w:t xml:space="preserve">z wykonanych prac. Warunkami zwiększenia dofinansowania są łącznie: </w:t>
      </w:r>
    </w:p>
    <w:p w14:paraId="725BB33C" w14:textId="46B30C41" w:rsidR="00A2715C" w:rsidRPr="00772C3C" w:rsidRDefault="00A2715C" w:rsidP="00073273">
      <w:pPr>
        <w:numPr>
          <w:ilvl w:val="1"/>
          <w:numId w:val="17"/>
        </w:numPr>
        <w:spacing w:after="0"/>
        <w:ind w:hanging="357"/>
        <w:jc w:val="both"/>
        <w:rPr>
          <w:rFonts w:cs="Times New Roman"/>
          <w:sz w:val="20"/>
          <w:szCs w:val="20"/>
        </w:rPr>
      </w:pPr>
      <w:r w:rsidRPr="00772C3C">
        <w:rPr>
          <w:rFonts w:cs="Times New Roman"/>
          <w:sz w:val="20"/>
          <w:szCs w:val="20"/>
        </w:rPr>
        <w:t xml:space="preserve">wystąpienie przesłanek wskazujących na konieczność wykonania dodatkowych badań </w:t>
      </w:r>
      <w:r w:rsidR="00093F04" w:rsidRPr="00772C3C">
        <w:rPr>
          <w:rFonts w:cs="Times New Roman"/>
          <w:sz w:val="20"/>
          <w:szCs w:val="20"/>
        </w:rPr>
        <w:br/>
      </w:r>
      <w:r w:rsidRPr="00772C3C">
        <w:rPr>
          <w:rFonts w:cs="Times New Roman"/>
          <w:sz w:val="20"/>
          <w:szCs w:val="20"/>
        </w:rPr>
        <w:t>w odpowiedzi na konkretne pytania stawiane przez potencjalnego odbiorcę technologii;</w:t>
      </w:r>
    </w:p>
    <w:p w14:paraId="42F7E933" w14:textId="7136046F" w:rsidR="00A2715C" w:rsidRPr="00772C3C" w:rsidRDefault="00A2715C" w:rsidP="00073273">
      <w:pPr>
        <w:numPr>
          <w:ilvl w:val="1"/>
          <w:numId w:val="17"/>
        </w:numPr>
        <w:spacing w:after="0"/>
        <w:ind w:hanging="357"/>
        <w:jc w:val="both"/>
        <w:rPr>
          <w:rFonts w:cs="Times New Roman"/>
          <w:sz w:val="20"/>
          <w:szCs w:val="20"/>
        </w:rPr>
      </w:pPr>
      <w:r w:rsidRPr="00772C3C">
        <w:rPr>
          <w:rFonts w:cs="Times New Roman"/>
          <w:sz w:val="20"/>
          <w:szCs w:val="20"/>
        </w:rPr>
        <w:t>dostępność środków pozostających w dyspozycji Dyrektora CTT CITTRU (dalej: Dyrektor);</w:t>
      </w:r>
    </w:p>
    <w:p w14:paraId="7ADD5D13" w14:textId="7E576127" w:rsidR="00A2715C" w:rsidRDefault="00A2715C" w:rsidP="00073273">
      <w:pPr>
        <w:numPr>
          <w:ilvl w:val="1"/>
          <w:numId w:val="17"/>
        </w:numPr>
        <w:spacing w:after="0"/>
        <w:ind w:hanging="357"/>
        <w:jc w:val="both"/>
        <w:rPr>
          <w:rFonts w:cs="Times New Roman"/>
          <w:sz w:val="20"/>
          <w:szCs w:val="20"/>
        </w:rPr>
      </w:pPr>
      <w:r w:rsidRPr="00772C3C">
        <w:rPr>
          <w:rFonts w:cs="Times New Roman"/>
          <w:sz w:val="20"/>
          <w:szCs w:val="20"/>
        </w:rPr>
        <w:t>p</w:t>
      </w:r>
      <w:r w:rsidRPr="00772C3C">
        <w:rPr>
          <w:rFonts w:cs="Times New Roman"/>
          <w:vanish/>
          <w:sz w:val="20"/>
          <w:szCs w:val="20"/>
        </w:rPr>
        <w:cr/>
        <w:t>iększenie ą zwiększenia dofinansowania w szczególnie uzasadnionych przypadkachaz dostępność środków.a dodatkowych badań w odpo</w:t>
      </w:r>
      <w:r w:rsidRPr="00772C3C">
        <w:rPr>
          <w:rFonts w:cs="Times New Roman"/>
          <w:sz w:val="20"/>
          <w:szCs w:val="20"/>
        </w:rPr>
        <w:t>isemna zgoda Dyrektora określająca wysokość zwiększonego dofinansowania i</w:t>
      </w:r>
      <w:r w:rsidRPr="00A2715C">
        <w:rPr>
          <w:rFonts w:cs="Times New Roman"/>
          <w:sz w:val="20"/>
          <w:szCs w:val="20"/>
        </w:rPr>
        <w:t xml:space="preserve"> jego przeznaczenie.</w:t>
      </w:r>
    </w:p>
    <w:p w14:paraId="79370CFA" w14:textId="77777777" w:rsidR="00772C3C" w:rsidRPr="00A2715C" w:rsidRDefault="00772C3C" w:rsidP="00772C3C">
      <w:pPr>
        <w:spacing w:after="0"/>
        <w:ind w:left="1440"/>
        <w:jc w:val="both"/>
        <w:rPr>
          <w:rFonts w:cs="Times New Roman"/>
          <w:sz w:val="20"/>
          <w:szCs w:val="20"/>
        </w:rPr>
      </w:pPr>
    </w:p>
    <w:p w14:paraId="5588BA14" w14:textId="044AECBB" w:rsidR="00AE0C62" w:rsidRDefault="00772C3C" w:rsidP="00073273">
      <w:pPr>
        <w:spacing w:after="0"/>
        <w:rPr>
          <w:rFonts w:cs="Times New Roman"/>
          <w:b/>
          <w:sz w:val="24"/>
          <w:szCs w:val="24"/>
        </w:rPr>
      </w:pPr>
      <w:r>
        <w:rPr>
          <w:rFonts w:cs="Times New Roman"/>
          <w:b/>
          <w:sz w:val="24"/>
          <w:szCs w:val="24"/>
        </w:rPr>
        <w:lastRenderedPageBreak/>
        <w:t>I</w:t>
      </w:r>
      <w:r w:rsidR="00AE0C62" w:rsidRPr="00B454FD">
        <w:rPr>
          <w:rFonts w:cs="Times New Roman"/>
          <w:b/>
          <w:sz w:val="24"/>
          <w:szCs w:val="24"/>
        </w:rPr>
        <w:t>I. Tryb składania i kwalifikacji wniosków wraz terminami.</w:t>
      </w:r>
    </w:p>
    <w:p w14:paraId="3AF103A8" w14:textId="77777777" w:rsidR="00772C3C" w:rsidRPr="00B454FD" w:rsidRDefault="00772C3C" w:rsidP="00073273">
      <w:pPr>
        <w:spacing w:after="0"/>
        <w:rPr>
          <w:rFonts w:cs="Times New Roman"/>
          <w:b/>
          <w:sz w:val="24"/>
          <w:szCs w:val="24"/>
        </w:rPr>
      </w:pPr>
    </w:p>
    <w:p w14:paraId="464C4AA2" w14:textId="54C7F83B" w:rsidR="00AE0C62" w:rsidRDefault="00AE0C62" w:rsidP="00073273">
      <w:pPr>
        <w:pStyle w:val="Akapitzlist"/>
        <w:numPr>
          <w:ilvl w:val="0"/>
          <w:numId w:val="15"/>
        </w:numPr>
        <w:spacing w:after="0"/>
        <w:jc w:val="both"/>
        <w:rPr>
          <w:rFonts w:cs="Times New Roman"/>
          <w:b w:val="0"/>
          <w:sz w:val="20"/>
          <w:szCs w:val="20"/>
        </w:rPr>
      </w:pPr>
      <w:r w:rsidRPr="00AE0C62">
        <w:rPr>
          <w:rFonts w:cs="Times New Roman"/>
          <w:b w:val="0"/>
          <w:sz w:val="20"/>
          <w:szCs w:val="20"/>
        </w:rPr>
        <w:t xml:space="preserve">Wnioski (wzór wniosku stanowi Załącznik nr 1) można składać w terminie do </w:t>
      </w:r>
      <w:r w:rsidR="00AC7C88">
        <w:rPr>
          <w:rFonts w:cs="Times New Roman"/>
          <w:b w:val="0"/>
          <w:sz w:val="20"/>
          <w:szCs w:val="20"/>
        </w:rPr>
        <w:t>16.02</w:t>
      </w:r>
      <w:r w:rsidR="000974BA">
        <w:rPr>
          <w:rFonts w:cs="Times New Roman"/>
          <w:b w:val="0"/>
          <w:sz w:val="20"/>
          <w:szCs w:val="20"/>
        </w:rPr>
        <w:t>.2020</w:t>
      </w:r>
      <w:r w:rsidRPr="00AE0C62">
        <w:rPr>
          <w:rFonts w:cs="Times New Roman"/>
          <w:b w:val="0"/>
          <w:sz w:val="20"/>
          <w:szCs w:val="20"/>
        </w:rPr>
        <w:t xml:space="preserve"> r do </w:t>
      </w:r>
      <w:r w:rsidR="00772C3C">
        <w:rPr>
          <w:rFonts w:cs="Times New Roman"/>
          <w:b w:val="0"/>
          <w:sz w:val="20"/>
          <w:szCs w:val="20"/>
        </w:rPr>
        <w:br/>
      </w:r>
      <w:r w:rsidRPr="00AE0C62">
        <w:rPr>
          <w:rFonts w:cs="Times New Roman"/>
          <w:b w:val="0"/>
          <w:sz w:val="20"/>
          <w:szCs w:val="20"/>
        </w:rPr>
        <w:t>godz. 12.00:</w:t>
      </w:r>
    </w:p>
    <w:p w14:paraId="5D253D09" w14:textId="0E697618" w:rsidR="00AE0C62" w:rsidRDefault="00AE0C62" w:rsidP="00073273">
      <w:pPr>
        <w:pStyle w:val="Akapitzlist"/>
        <w:numPr>
          <w:ilvl w:val="1"/>
          <w:numId w:val="15"/>
        </w:numPr>
        <w:spacing w:after="0"/>
        <w:jc w:val="both"/>
        <w:rPr>
          <w:rFonts w:cs="Times New Roman"/>
          <w:b w:val="0"/>
          <w:sz w:val="20"/>
          <w:szCs w:val="20"/>
        </w:rPr>
      </w:pPr>
      <w:r w:rsidRPr="00AE0C62">
        <w:rPr>
          <w:rFonts w:cs="Times New Roman"/>
          <w:b w:val="0"/>
          <w:sz w:val="20"/>
          <w:szCs w:val="20"/>
        </w:rPr>
        <w:t>w wersji papierowej w sekretariacie CTT CITTRU</w:t>
      </w:r>
      <w:r w:rsidR="00093F04">
        <w:rPr>
          <w:rFonts w:cs="Times New Roman"/>
          <w:b w:val="0"/>
          <w:sz w:val="20"/>
          <w:szCs w:val="20"/>
        </w:rPr>
        <w:t>;</w:t>
      </w:r>
    </w:p>
    <w:p w14:paraId="388387A0" w14:textId="7FBA9810" w:rsidR="00AE0C62" w:rsidRDefault="00AE0C62" w:rsidP="00073273">
      <w:pPr>
        <w:pStyle w:val="Akapitzlist"/>
        <w:numPr>
          <w:ilvl w:val="1"/>
          <w:numId w:val="15"/>
        </w:numPr>
        <w:spacing w:after="0"/>
        <w:jc w:val="both"/>
        <w:rPr>
          <w:rFonts w:cs="Times New Roman"/>
          <w:b w:val="0"/>
          <w:sz w:val="20"/>
          <w:szCs w:val="20"/>
        </w:rPr>
      </w:pPr>
      <w:r w:rsidRPr="00AE0C62">
        <w:rPr>
          <w:rFonts w:cs="Times New Roman"/>
          <w:b w:val="0"/>
          <w:sz w:val="20"/>
          <w:szCs w:val="20"/>
        </w:rPr>
        <w:t xml:space="preserve">lub w formie skanu podpisanego dokumentu na adres e-mail: </w:t>
      </w:r>
      <w:r w:rsidRPr="00093F04">
        <w:rPr>
          <w:rFonts w:cs="Times New Roman"/>
          <w:b w:val="0"/>
          <w:sz w:val="20"/>
          <w:szCs w:val="20"/>
        </w:rPr>
        <w:t>cittru@uj.edu.pl</w:t>
      </w:r>
      <w:r w:rsidR="00093F04">
        <w:rPr>
          <w:rFonts w:cs="Times New Roman"/>
          <w:b w:val="0"/>
          <w:sz w:val="20"/>
          <w:szCs w:val="20"/>
        </w:rPr>
        <w:t>.</w:t>
      </w:r>
    </w:p>
    <w:p w14:paraId="1978E8F3" w14:textId="1A335074" w:rsidR="00AE0C62" w:rsidRPr="001F03C9" w:rsidRDefault="00093F04" w:rsidP="00073273">
      <w:pPr>
        <w:spacing w:after="0"/>
        <w:ind w:left="742"/>
        <w:jc w:val="both"/>
        <w:rPr>
          <w:rFonts w:cs="Times New Roman"/>
          <w:sz w:val="20"/>
          <w:szCs w:val="20"/>
        </w:rPr>
      </w:pPr>
      <w:r>
        <w:rPr>
          <w:rFonts w:cs="Times New Roman"/>
          <w:sz w:val="20"/>
          <w:szCs w:val="20"/>
        </w:rPr>
        <w:t>D</w:t>
      </w:r>
      <w:r w:rsidR="00AE0C62" w:rsidRPr="00AE0C62">
        <w:rPr>
          <w:rFonts w:cs="Times New Roman"/>
          <w:sz w:val="20"/>
          <w:szCs w:val="20"/>
        </w:rPr>
        <w:t xml:space="preserve">o wniosku należy dołączyć podpisane przez wszystkie wymienione we wniosku osoby, które planuje się zaangażować w realizację prac przedwdrożeniowych, zgody na przetwarzanie danych osobowych, według </w:t>
      </w:r>
      <w:r w:rsidR="00AE0C62" w:rsidRPr="001F03C9">
        <w:rPr>
          <w:rFonts w:cs="Times New Roman"/>
          <w:sz w:val="20"/>
          <w:szCs w:val="20"/>
        </w:rPr>
        <w:t>wzoru stanowiącego załącznik do wzoru wniosku.</w:t>
      </w:r>
    </w:p>
    <w:p w14:paraId="6CE5F094" w14:textId="0406419F" w:rsidR="00A2715C" w:rsidRPr="001F03C9" w:rsidRDefault="00A2715C" w:rsidP="00073273">
      <w:pPr>
        <w:numPr>
          <w:ilvl w:val="0"/>
          <w:numId w:val="15"/>
        </w:numPr>
        <w:tabs>
          <w:tab w:val="left" w:pos="426"/>
        </w:tabs>
        <w:spacing w:after="0"/>
        <w:jc w:val="both"/>
        <w:rPr>
          <w:rFonts w:cs="Times New Roman"/>
          <w:sz w:val="20"/>
          <w:szCs w:val="20"/>
        </w:rPr>
      </w:pPr>
      <w:r w:rsidRPr="001F03C9">
        <w:rPr>
          <w:rFonts w:cs="Times New Roman"/>
          <w:sz w:val="20"/>
          <w:szCs w:val="20"/>
        </w:rPr>
        <w:t>Wniosek o dofinansowanie jest przygotowywany przez pracownika UJ reprezentującego zespół badawczy (dalej: Kierownik) we współpracy z Brokerem UJ (dalej: Broker), przy czym rolą Brokera jest wsparcie Kierownika w zakresie przygotowania analizy danych rynkowych, oceny potencjału komercyjnego/praktycznego Innowacji.</w:t>
      </w:r>
    </w:p>
    <w:p w14:paraId="54CFC14B" w14:textId="04B61DCC" w:rsidR="00073273" w:rsidRPr="001F03C9" w:rsidRDefault="00A2715C" w:rsidP="00073273">
      <w:pPr>
        <w:pStyle w:val="Akapitzlist"/>
        <w:numPr>
          <w:ilvl w:val="0"/>
          <w:numId w:val="15"/>
        </w:numPr>
        <w:spacing w:after="0"/>
        <w:ind w:left="714" w:hanging="357"/>
        <w:jc w:val="both"/>
        <w:rPr>
          <w:rFonts w:cs="Times New Roman"/>
          <w:b w:val="0"/>
          <w:sz w:val="20"/>
          <w:szCs w:val="20"/>
        </w:rPr>
      </w:pPr>
      <w:r w:rsidRPr="001F03C9">
        <w:rPr>
          <w:rFonts w:cs="Times New Roman"/>
          <w:b w:val="0"/>
          <w:sz w:val="20"/>
          <w:szCs w:val="20"/>
        </w:rPr>
        <w:t xml:space="preserve">Wniosek o dofinansowanie podpisuje Kierownik, </w:t>
      </w:r>
      <w:r w:rsidR="001F03C9" w:rsidRPr="001F03C9">
        <w:rPr>
          <w:rFonts w:cs="Times New Roman"/>
          <w:b w:val="0"/>
          <w:sz w:val="20"/>
          <w:szCs w:val="20"/>
        </w:rPr>
        <w:t xml:space="preserve">bezpośredni przełożony Kierownika, </w:t>
      </w:r>
      <w:r w:rsidRPr="001F03C9">
        <w:rPr>
          <w:rFonts w:cs="Times New Roman"/>
          <w:b w:val="0"/>
          <w:sz w:val="20"/>
          <w:szCs w:val="20"/>
        </w:rPr>
        <w:t xml:space="preserve">Broker oraz Dziekan Wydziału lub kierownik jednostki pozawydziałowej, jednostki międzywydziałowej, jednostki międzyuczelnianej lub jednostki wspólnej, z której pochodzi zespół badawczy </w:t>
      </w:r>
      <w:bookmarkStart w:id="0" w:name="_GoBack"/>
      <w:bookmarkEnd w:id="0"/>
    </w:p>
    <w:p w14:paraId="5CFD8FAB" w14:textId="47A146E8" w:rsidR="00AE0C62" w:rsidRDefault="00A2715C" w:rsidP="00073273">
      <w:pPr>
        <w:pStyle w:val="Akapitzlist"/>
        <w:numPr>
          <w:ilvl w:val="0"/>
          <w:numId w:val="15"/>
        </w:numPr>
        <w:spacing w:after="0"/>
        <w:ind w:left="714" w:hanging="357"/>
        <w:jc w:val="both"/>
        <w:rPr>
          <w:rFonts w:cs="Times New Roman"/>
          <w:b w:val="0"/>
          <w:sz w:val="20"/>
          <w:szCs w:val="20"/>
        </w:rPr>
      </w:pPr>
      <w:r w:rsidRPr="001F03C9">
        <w:rPr>
          <w:rFonts w:cs="Times New Roman"/>
          <w:b w:val="0"/>
          <w:sz w:val="20"/>
          <w:szCs w:val="20"/>
        </w:rPr>
        <w:t>Dla ka</w:t>
      </w:r>
      <w:r w:rsidR="000974BA" w:rsidRPr="001F03C9">
        <w:rPr>
          <w:rFonts w:cs="Times New Roman"/>
          <w:b w:val="0"/>
          <w:sz w:val="20"/>
          <w:szCs w:val="20"/>
        </w:rPr>
        <w:t xml:space="preserve">żdego z wniosków Dyrektor do </w:t>
      </w:r>
      <w:r w:rsidR="00AC7C88" w:rsidRPr="001F03C9">
        <w:rPr>
          <w:rFonts w:cs="Times New Roman"/>
          <w:b w:val="0"/>
          <w:sz w:val="20"/>
          <w:szCs w:val="20"/>
        </w:rPr>
        <w:t>24</w:t>
      </w:r>
      <w:r w:rsidR="000974BA" w:rsidRPr="001F03C9">
        <w:rPr>
          <w:rFonts w:cs="Times New Roman"/>
          <w:b w:val="0"/>
          <w:sz w:val="20"/>
          <w:szCs w:val="20"/>
        </w:rPr>
        <w:t xml:space="preserve"> lutego </w:t>
      </w:r>
      <w:r w:rsidRPr="001F03C9">
        <w:rPr>
          <w:rFonts w:cs="Times New Roman"/>
          <w:b w:val="0"/>
          <w:sz w:val="20"/>
          <w:szCs w:val="20"/>
        </w:rPr>
        <w:t xml:space="preserve">2020 roku opracowuje indywidualną rekomendację zatwierdzaną bądź odrzucaną przez Radę Nadzorującą CITTRU (dalej: Rada) nie później niż </w:t>
      </w:r>
      <w:r w:rsidR="00AC7C88" w:rsidRPr="001F03C9">
        <w:rPr>
          <w:rFonts w:cs="Times New Roman"/>
          <w:b w:val="0"/>
          <w:sz w:val="20"/>
          <w:szCs w:val="20"/>
        </w:rPr>
        <w:t>6</w:t>
      </w:r>
      <w:r w:rsidR="000974BA" w:rsidRPr="001F03C9">
        <w:rPr>
          <w:rFonts w:cs="Times New Roman"/>
          <w:b w:val="0"/>
          <w:sz w:val="20"/>
          <w:szCs w:val="20"/>
        </w:rPr>
        <w:t xml:space="preserve"> </w:t>
      </w:r>
      <w:r w:rsidR="00AC7C88" w:rsidRPr="001F03C9">
        <w:rPr>
          <w:rFonts w:cs="Times New Roman"/>
          <w:b w:val="0"/>
          <w:sz w:val="20"/>
          <w:szCs w:val="20"/>
        </w:rPr>
        <w:t>marca</w:t>
      </w:r>
      <w:r w:rsidRPr="001F03C9">
        <w:rPr>
          <w:rFonts w:cs="Times New Roman"/>
          <w:b w:val="0"/>
          <w:sz w:val="20"/>
          <w:szCs w:val="20"/>
        </w:rPr>
        <w:t xml:space="preserve"> 2020 roku. Lista wniosków</w:t>
      </w:r>
      <w:r w:rsidRPr="00A2715C">
        <w:rPr>
          <w:rFonts w:cs="Times New Roman"/>
          <w:b w:val="0"/>
          <w:sz w:val="20"/>
          <w:szCs w:val="20"/>
        </w:rPr>
        <w:t xml:space="preserve"> zakwalifikowanych do dofinansowania zostanie upubliczniona nie później </w:t>
      </w:r>
      <w:r w:rsidR="000974BA">
        <w:rPr>
          <w:rFonts w:cs="Times New Roman"/>
          <w:b w:val="0"/>
          <w:sz w:val="20"/>
          <w:szCs w:val="20"/>
        </w:rPr>
        <w:t xml:space="preserve">niż </w:t>
      </w:r>
      <w:r w:rsidR="00AC7C88">
        <w:rPr>
          <w:rFonts w:cs="Times New Roman"/>
          <w:b w:val="0"/>
          <w:sz w:val="20"/>
          <w:szCs w:val="20"/>
        </w:rPr>
        <w:t>10</w:t>
      </w:r>
      <w:r w:rsidR="000974BA">
        <w:rPr>
          <w:rFonts w:cs="Times New Roman"/>
          <w:b w:val="0"/>
          <w:sz w:val="20"/>
          <w:szCs w:val="20"/>
        </w:rPr>
        <w:t xml:space="preserve"> marca</w:t>
      </w:r>
      <w:r w:rsidRPr="00A2715C">
        <w:rPr>
          <w:rFonts w:cs="Times New Roman"/>
          <w:b w:val="0"/>
          <w:sz w:val="20"/>
          <w:szCs w:val="20"/>
        </w:rPr>
        <w:t xml:space="preserve"> 2020 roku.</w:t>
      </w:r>
    </w:p>
    <w:p w14:paraId="6AD21688" w14:textId="77777777" w:rsidR="00073273" w:rsidRPr="00AE0C62" w:rsidRDefault="00073273" w:rsidP="00073273">
      <w:pPr>
        <w:numPr>
          <w:ilvl w:val="0"/>
          <w:numId w:val="15"/>
        </w:numPr>
        <w:tabs>
          <w:tab w:val="left" w:pos="426"/>
        </w:tabs>
        <w:spacing w:after="0"/>
        <w:jc w:val="both"/>
        <w:rPr>
          <w:rFonts w:cs="Times New Roman"/>
          <w:sz w:val="20"/>
          <w:szCs w:val="20"/>
        </w:rPr>
      </w:pPr>
      <w:r w:rsidRPr="00AE0C62">
        <w:rPr>
          <w:rFonts w:cs="Times New Roman"/>
          <w:sz w:val="20"/>
          <w:szCs w:val="20"/>
        </w:rPr>
        <w:t>Warunkiem rozpatrzenia wniosku o dofinansowanie jest:</w:t>
      </w:r>
    </w:p>
    <w:p w14:paraId="18B75BA4" w14:textId="4B261182" w:rsidR="00073273" w:rsidRPr="00AE0C62" w:rsidRDefault="00073273" w:rsidP="00073273">
      <w:pPr>
        <w:numPr>
          <w:ilvl w:val="1"/>
          <w:numId w:val="15"/>
        </w:numPr>
        <w:tabs>
          <w:tab w:val="left" w:pos="426"/>
        </w:tabs>
        <w:spacing w:after="0"/>
        <w:jc w:val="both"/>
        <w:rPr>
          <w:rFonts w:cs="Times New Roman"/>
          <w:sz w:val="20"/>
          <w:szCs w:val="20"/>
        </w:rPr>
      </w:pPr>
      <w:r>
        <w:rPr>
          <w:rFonts w:cs="Times New Roman"/>
          <w:sz w:val="20"/>
          <w:szCs w:val="20"/>
        </w:rPr>
        <w:t>U</w:t>
      </w:r>
      <w:r w:rsidRPr="00AE0C62">
        <w:rPr>
          <w:rFonts w:cs="Times New Roman"/>
          <w:sz w:val="20"/>
          <w:szCs w:val="20"/>
        </w:rPr>
        <w:t xml:space="preserve">przednie formalne zgłoszenie Innowacji do CTT CITTRU poprzez Formularz Zgłoszenia Wyników (zarejestrowana Innowacja, prawa majątkowe do własności intelektualnej w całości lub w części należą do UJ). Dopuszcza się dokonanie zgłoszenia Innowacji do CTT CITTRU </w:t>
      </w:r>
      <w:r w:rsidR="00772C3C">
        <w:rPr>
          <w:rFonts w:cs="Times New Roman"/>
          <w:sz w:val="20"/>
          <w:szCs w:val="20"/>
        </w:rPr>
        <w:br/>
      </w:r>
      <w:r w:rsidRPr="00AE0C62">
        <w:rPr>
          <w:rFonts w:cs="Times New Roman"/>
          <w:sz w:val="20"/>
          <w:szCs w:val="20"/>
        </w:rPr>
        <w:t>w terminie do 30 dni od rozpoczęcia realizacji badania przedwdrożeni</w:t>
      </w:r>
      <w:r>
        <w:rPr>
          <w:rFonts w:cs="Times New Roman"/>
          <w:sz w:val="20"/>
          <w:szCs w:val="20"/>
        </w:rPr>
        <w:t>owego zaplanowanego we wniosku;</w:t>
      </w:r>
    </w:p>
    <w:p w14:paraId="4D435C59" w14:textId="5FC832AE" w:rsidR="00073273" w:rsidRDefault="00073273" w:rsidP="00073273">
      <w:pPr>
        <w:numPr>
          <w:ilvl w:val="1"/>
          <w:numId w:val="15"/>
        </w:numPr>
        <w:tabs>
          <w:tab w:val="left" w:pos="426"/>
        </w:tabs>
        <w:spacing w:after="0"/>
        <w:jc w:val="both"/>
        <w:rPr>
          <w:rFonts w:cs="Times New Roman"/>
          <w:sz w:val="20"/>
          <w:szCs w:val="20"/>
        </w:rPr>
      </w:pPr>
      <w:r>
        <w:rPr>
          <w:rFonts w:cs="Times New Roman"/>
          <w:sz w:val="20"/>
          <w:szCs w:val="20"/>
        </w:rPr>
        <w:t>W</w:t>
      </w:r>
      <w:r w:rsidRPr="00AE0C62">
        <w:rPr>
          <w:rFonts w:cs="Times New Roman"/>
          <w:sz w:val="20"/>
          <w:szCs w:val="20"/>
        </w:rPr>
        <w:t>ykazanie, że Innowacja posiada wysoki potencjał komercyjny i praktyczny, wynikający bądź z analizy rynku, bądź z zapotrzebowania bezpośrednio zgłoszonego przez partnera biznesowego (popartego dokumentem, np. listem intencyjnym lub umową o współpracy, umową MTA, zapytaniem z firmy, sprawozdaniem ze spotkania z firmą, itp.)</w:t>
      </w:r>
      <w:r>
        <w:rPr>
          <w:rFonts w:cs="Times New Roman"/>
          <w:sz w:val="20"/>
          <w:szCs w:val="20"/>
        </w:rPr>
        <w:t>;</w:t>
      </w:r>
    </w:p>
    <w:p w14:paraId="5CC774A0" w14:textId="5842D15E" w:rsidR="00073273" w:rsidRPr="00073273" w:rsidRDefault="00073273" w:rsidP="00073273">
      <w:pPr>
        <w:numPr>
          <w:ilvl w:val="1"/>
          <w:numId w:val="15"/>
        </w:numPr>
        <w:tabs>
          <w:tab w:val="left" w:pos="426"/>
        </w:tabs>
        <w:spacing w:after="0"/>
        <w:jc w:val="both"/>
        <w:rPr>
          <w:rFonts w:cs="Times New Roman"/>
          <w:sz w:val="20"/>
          <w:szCs w:val="20"/>
        </w:rPr>
      </w:pPr>
      <w:r w:rsidRPr="00073273">
        <w:rPr>
          <w:rFonts w:cs="Times New Roman"/>
          <w:sz w:val="20"/>
          <w:szCs w:val="20"/>
        </w:rPr>
        <w:t>Wykazanie, że zaplanowane prace przedwdrożeniowe znacząco zwiększą poziom gotowości Innowacji do komercjalizacji lub praktycznego wykorzystania i w rezultacie zwiększą szanse na sukces procesu transfery technologii i wiedzy z uczelni do otoczenia społeczno-gospodarczego.</w:t>
      </w:r>
    </w:p>
    <w:p w14:paraId="7E87B562" w14:textId="006482D5" w:rsidR="00A2715C" w:rsidRPr="00A2715C" w:rsidRDefault="00A2715C" w:rsidP="00073273">
      <w:pPr>
        <w:pStyle w:val="Akapitzlist"/>
        <w:numPr>
          <w:ilvl w:val="0"/>
          <w:numId w:val="15"/>
        </w:numPr>
        <w:spacing w:after="0"/>
        <w:jc w:val="both"/>
        <w:rPr>
          <w:rFonts w:cs="Times New Roman"/>
          <w:b w:val="0"/>
          <w:sz w:val="20"/>
          <w:szCs w:val="20"/>
        </w:rPr>
      </w:pPr>
      <w:r w:rsidRPr="00A2715C">
        <w:rPr>
          <w:rFonts w:cs="Times New Roman"/>
          <w:b w:val="0"/>
          <w:sz w:val="20"/>
          <w:szCs w:val="20"/>
        </w:rPr>
        <w:t>Obieg dokumentów związanych z oceną wniosków i wydaniem decyzji odbywa się zdalnie – drogą elektroniczną. Przed podjęciem decyzji o dofinansowaniu, na wniosek Dyrektora lub Rady, dopuszcza się wezwanie Kierownika do złożenia dodatkowych wyjaśnień dotyczących działań wskazanych we wniosku.</w:t>
      </w:r>
    </w:p>
    <w:p w14:paraId="33F4DD19" w14:textId="5C0D9ABD" w:rsidR="00AE0C62" w:rsidRDefault="00AE0C62" w:rsidP="00073273">
      <w:pPr>
        <w:spacing w:after="0"/>
        <w:ind w:left="1080"/>
        <w:jc w:val="both"/>
        <w:rPr>
          <w:rFonts w:cs="Times New Roman"/>
          <w:sz w:val="20"/>
          <w:szCs w:val="20"/>
        </w:rPr>
      </w:pPr>
    </w:p>
    <w:p w14:paraId="0039C3D7" w14:textId="70EE8486" w:rsidR="00AE0C62" w:rsidRDefault="00772C3C" w:rsidP="00073273">
      <w:pPr>
        <w:spacing w:after="0"/>
        <w:rPr>
          <w:rFonts w:cs="Times New Roman"/>
          <w:b/>
          <w:sz w:val="24"/>
          <w:szCs w:val="24"/>
        </w:rPr>
      </w:pPr>
      <w:r>
        <w:rPr>
          <w:rFonts w:cs="Times New Roman"/>
          <w:b/>
          <w:sz w:val="24"/>
          <w:szCs w:val="24"/>
        </w:rPr>
        <w:t>III</w:t>
      </w:r>
      <w:r w:rsidR="00AE0C62" w:rsidRPr="00B454FD">
        <w:rPr>
          <w:rFonts w:cs="Times New Roman"/>
          <w:b/>
          <w:sz w:val="24"/>
          <w:szCs w:val="24"/>
        </w:rPr>
        <w:t>. Realizacja prac przedwdrożeniowych</w:t>
      </w:r>
    </w:p>
    <w:p w14:paraId="095F0464" w14:textId="77777777" w:rsidR="00646CAF" w:rsidRPr="00B454FD" w:rsidRDefault="00646CAF" w:rsidP="00073273">
      <w:pPr>
        <w:spacing w:after="0"/>
        <w:rPr>
          <w:rFonts w:cs="Times New Roman"/>
          <w:b/>
          <w:sz w:val="24"/>
          <w:szCs w:val="24"/>
        </w:rPr>
      </w:pPr>
    </w:p>
    <w:p w14:paraId="7705314C" w14:textId="7E930854"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Wydatki</w:t>
      </w:r>
      <w:r w:rsidR="00073273">
        <w:rPr>
          <w:rFonts w:cs="Times New Roman"/>
          <w:sz w:val="20"/>
          <w:szCs w:val="20"/>
        </w:rPr>
        <w:t xml:space="preserve"> związane z realizacją prac przedwdrożeniowych</w:t>
      </w:r>
      <w:r w:rsidRPr="00AE0C62">
        <w:rPr>
          <w:rFonts w:cs="Times New Roman"/>
          <w:sz w:val="20"/>
          <w:szCs w:val="20"/>
        </w:rPr>
        <w:t xml:space="preserve"> muszą być ponoszone zgodnie z wewnętrznymi procedurami UJ, w tym </w:t>
      </w:r>
      <w:r w:rsidRPr="00073273">
        <w:rPr>
          <w:rFonts w:cs="Times New Roman"/>
          <w:sz w:val="20"/>
          <w:szCs w:val="20"/>
        </w:rPr>
        <w:t xml:space="preserve">regulacjami dotyczącymi zamówień publicznych i mogą być ponoszone od </w:t>
      </w:r>
      <w:r w:rsidR="000974BA">
        <w:rPr>
          <w:rFonts w:cs="Times New Roman"/>
          <w:sz w:val="20"/>
          <w:szCs w:val="20"/>
        </w:rPr>
        <w:t>15 marca</w:t>
      </w:r>
      <w:r w:rsidRPr="00073273">
        <w:rPr>
          <w:rFonts w:cs="Times New Roman"/>
          <w:sz w:val="20"/>
          <w:szCs w:val="20"/>
        </w:rPr>
        <w:t xml:space="preserve"> 2020 do 30 listopada 2020 roku. W ramach kategorii „Wynagrodzenia” wypłata środków będzie możliwa jedynie w przypadku osób, których łączne miesięczne zaangażowanie zawodowe (także poza UJ) nie przekroczy 276 godzin (osoba uzyskująca wynagrodzenie będzie zobligowania do podpisywania stosownych oświadczeń w tym zakresie – przykładowy wzór oświadczenia stanowi Załącznik nr 2. Zespół</w:t>
      </w:r>
      <w:r w:rsidRPr="00AE0C62">
        <w:rPr>
          <w:rFonts w:cs="Times New Roman"/>
          <w:sz w:val="20"/>
          <w:szCs w:val="20"/>
        </w:rPr>
        <w:t xml:space="preserve"> realizujący </w:t>
      </w:r>
      <w:r w:rsidRPr="00AE0C62">
        <w:rPr>
          <w:rFonts w:cs="Times New Roman"/>
          <w:sz w:val="20"/>
          <w:szCs w:val="20"/>
        </w:rPr>
        <w:lastRenderedPageBreak/>
        <w:t xml:space="preserve">prace przedwdrożeniowe na prośbę CTT CITTRU jest zobligowany do przygotowania </w:t>
      </w:r>
      <w:r w:rsidR="00073273">
        <w:rPr>
          <w:rFonts w:cs="Times New Roman"/>
          <w:sz w:val="20"/>
          <w:szCs w:val="20"/>
        </w:rPr>
        <w:br/>
      </w:r>
      <w:r w:rsidRPr="00AE0C62">
        <w:rPr>
          <w:rFonts w:cs="Times New Roman"/>
          <w:sz w:val="20"/>
          <w:szCs w:val="20"/>
        </w:rPr>
        <w:t xml:space="preserve">i przedłożenia dokumentacji niezbędnej do realizacji zaplanowanych we wniosku wydatków </w:t>
      </w:r>
      <w:r w:rsidR="00772C3C">
        <w:rPr>
          <w:rFonts w:cs="Times New Roman"/>
          <w:sz w:val="20"/>
          <w:szCs w:val="20"/>
        </w:rPr>
        <w:br/>
      </w:r>
      <w:r w:rsidRPr="00AE0C62">
        <w:rPr>
          <w:rFonts w:cs="Times New Roman"/>
          <w:sz w:val="20"/>
          <w:szCs w:val="20"/>
        </w:rPr>
        <w:t xml:space="preserve">(np. specyfikacji warunków zamówienia) i rozliczenia/zakwalifikowania tych wydatków w Projekcie.  </w:t>
      </w:r>
    </w:p>
    <w:p w14:paraId="441865C6" w14:textId="7313C457" w:rsidR="00A2715C" w:rsidRPr="00A2715C"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Własność intelektualna wytworzona w ramach prac przedwdrożeniowych, w szczególności wyniki badań, prawa do patentu, know-how, autorskie prawa majątkowe do raportów, będzie należeć do UJ.</w:t>
      </w:r>
    </w:p>
    <w:p w14:paraId="4B3FEE9A" w14:textId="77777777"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W ciągu 14 dni roboczych od zakończenia prac przedwdrożeniowych, na które przyznane zostało dofinansowanie, Kierownik składa do Dyrektora sprawozdanie z wykonanych działań, którego wzór stanowi Załącznik nr 3 do niniejszej procedury. Kierownik jest zobowiązany do złożenia sprawozdania również w przypadku przerwania lub wcześniejszego zakończenia prac przedwdrożeniowych.</w:t>
      </w:r>
    </w:p>
    <w:p w14:paraId="6EB17949" w14:textId="77777777"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Na etapie rozliczania działań objętych dofinansowaniem obsługę finansowo-księgową zapewnia administracja CTT CITTRU przy wsparciu jednostki organizacyjnej, z której pochodzi zespół badawczy oraz jednostek administracji ogólnouczelnianej zgodnie z „Instrukcją obiegu dokumentów finansowo-księgowych Uniwersytetu Jagiellońskiego”.</w:t>
      </w:r>
    </w:p>
    <w:p w14:paraId="2986E294" w14:textId="77777777"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 xml:space="preserve">Za prawidłowe wykonanie działań objętych dofinansowaniem, przestrzeganie limitów budżetowych zawartych w kosztorysie oraz zapisanych terminów realizacji zadań wraz z terminowym ponoszeniem kosztów przypisanych do zadań, zapewnienie zgodności sposobu realizacji wydatków z procedurami określonymi w ustawie Prawo zamówień publicznych oraz zapewnienie zgodności realizacji działań </w:t>
      </w:r>
      <w:r w:rsidRPr="00AE0C62">
        <w:rPr>
          <w:rFonts w:cs="Times New Roman"/>
          <w:sz w:val="20"/>
          <w:szCs w:val="20"/>
        </w:rPr>
        <w:br/>
        <w:t xml:space="preserve">z wewnętrznymi uregulowaniami obowiązującymi w UJ, w szczególności w zakresie wykorzystania infrastruktury badawczej, praw własności intelektualnej, odpowiada Kierownik. </w:t>
      </w:r>
    </w:p>
    <w:p w14:paraId="36AF0163" w14:textId="303E40E4"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 xml:space="preserve">Kierownik jest zobowiązany do współpracy z Brokerem w trakcie realizacji prac przedwdrożeniowych, </w:t>
      </w:r>
      <w:r w:rsidR="00772C3C">
        <w:rPr>
          <w:rFonts w:cs="Times New Roman"/>
          <w:sz w:val="20"/>
          <w:szCs w:val="20"/>
        </w:rPr>
        <w:br/>
      </w:r>
      <w:r w:rsidRPr="00AE0C62">
        <w:rPr>
          <w:rFonts w:cs="Times New Roman"/>
          <w:sz w:val="20"/>
          <w:szCs w:val="20"/>
        </w:rPr>
        <w:t xml:space="preserve">w tym udzielania Brokerowi na jego prośbę wszelkich informacji o postępach i przebiegu realizowanych zadań oraz współudziału w przygotowaniu materiałów promocyjnych i procesie komercjalizacji, </w:t>
      </w:r>
      <w:r w:rsidR="00772C3C">
        <w:rPr>
          <w:rFonts w:cs="Times New Roman"/>
          <w:sz w:val="20"/>
          <w:szCs w:val="20"/>
        </w:rPr>
        <w:br/>
      </w:r>
      <w:r w:rsidRPr="00AE0C62">
        <w:rPr>
          <w:rFonts w:cs="Times New Roman"/>
          <w:sz w:val="20"/>
          <w:szCs w:val="20"/>
        </w:rPr>
        <w:t>w szczególności w rozmowach z podmiotami zainteresowanymi komercjalizacją lub praktycznym wykorzystaniem Innowacji.</w:t>
      </w:r>
    </w:p>
    <w:p w14:paraId="72D50096" w14:textId="70DC5AEF" w:rsidR="00A2715C" w:rsidRDefault="00A2715C" w:rsidP="00073273">
      <w:pPr>
        <w:numPr>
          <w:ilvl w:val="0"/>
          <w:numId w:val="7"/>
        </w:numPr>
        <w:tabs>
          <w:tab w:val="left" w:pos="426"/>
        </w:tabs>
        <w:spacing w:after="0"/>
        <w:ind w:left="434" w:hanging="434"/>
        <w:jc w:val="both"/>
        <w:rPr>
          <w:rFonts w:cs="Times New Roman"/>
          <w:sz w:val="20"/>
          <w:szCs w:val="20"/>
        </w:rPr>
      </w:pPr>
      <w:r w:rsidRPr="00AE0C62">
        <w:rPr>
          <w:rFonts w:cs="Times New Roman"/>
          <w:sz w:val="20"/>
          <w:szCs w:val="20"/>
        </w:rPr>
        <w:t>Tak szybko jak to możliwe Kierownik jest zobowiązany do zgłoszenia do Dyrektora w formie pisemnej (dopuszcza się korespondencję elektroniczną) problemów związanych z realizacją prac przedwdrożeniowych w celu znalezienia rozwiązania oraz ustalenia ewentualnych zmian w kosztorysie lub harmonogramie.</w:t>
      </w:r>
    </w:p>
    <w:p w14:paraId="509967E7" w14:textId="25F764D3" w:rsidR="00073273" w:rsidRDefault="00073273" w:rsidP="00073273">
      <w:pPr>
        <w:numPr>
          <w:ilvl w:val="0"/>
          <w:numId w:val="7"/>
        </w:numPr>
        <w:tabs>
          <w:tab w:val="left" w:pos="426"/>
        </w:tabs>
        <w:spacing w:after="0"/>
        <w:ind w:left="434" w:hanging="434"/>
        <w:jc w:val="both"/>
        <w:rPr>
          <w:rFonts w:cs="Times New Roman"/>
          <w:sz w:val="20"/>
          <w:szCs w:val="20"/>
        </w:rPr>
      </w:pPr>
      <w:r w:rsidRPr="00AE0C62">
        <w:rPr>
          <w:rFonts w:cs="Times New Roman"/>
          <w:sz w:val="20"/>
          <w:szCs w:val="20"/>
        </w:rPr>
        <w:t xml:space="preserve">W przypadku, gdy zgłoszenie, o którym mowa w pkt </w:t>
      </w:r>
      <w:r w:rsidR="00772C3C">
        <w:rPr>
          <w:rFonts w:cs="Times New Roman"/>
          <w:sz w:val="20"/>
          <w:szCs w:val="20"/>
        </w:rPr>
        <w:t>III</w:t>
      </w:r>
      <w:r>
        <w:rPr>
          <w:rFonts w:cs="Times New Roman"/>
          <w:sz w:val="20"/>
          <w:szCs w:val="20"/>
        </w:rPr>
        <w:t>.7</w:t>
      </w:r>
      <w:r w:rsidRPr="00AE0C62">
        <w:rPr>
          <w:rFonts w:cs="Times New Roman"/>
          <w:sz w:val="20"/>
          <w:szCs w:val="20"/>
        </w:rPr>
        <w:t xml:space="preserve"> uzasadnia przerwanie lub wcześniejsze zakończenie realizacji prac przedwdrożeniowych ze względu na uzyskane rezultaty, Dyrektor może podjąć decyzję o przerwaniu lub wcześniejszym zakończeniu realizacji prac przedwdrożeniowych.</w:t>
      </w:r>
    </w:p>
    <w:p w14:paraId="3E3BCB50" w14:textId="5F4C4989" w:rsidR="00073273" w:rsidRPr="00AE0C62" w:rsidRDefault="00073273" w:rsidP="00073273">
      <w:pPr>
        <w:numPr>
          <w:ilvl w:val="0"/>
          <w:numId w:val="7"/>
        </w:numPr>
        <w:tabs>
          <w:tab w:val="left" w:pos="426"/>
        </w:tabs>
        <w:spacing w:after="0"/>
        <w:ind w:left="434" w:hanging="434"/>
        <w:jc w:val="both"/>
        <w:rPr>
          <w:rFonts w:cs="Times New Roman"/>
          <w:sz w:val="20"/>
          <w:szCs w:val="20"/>
        </w:rPr>
      </w:pPr>
      <w:r w:rsidRPr="00AE0C62">
        <w:rPr>
          <w:rFonts w:cs="Times New Roman"/>
          <w:sz w:val="20"/>
          <w:szCs w:val="20"/>
        </w:rPr>
        <w:t xml:space="preserve">W przypadku zakończenia realizacji lub przerwania realizacji prac przedwdrożeniowych i niewydatkowania całości dofinansowania, niewykorzystane środki zostaną przeznaczone na sfinansowanie innych zgłoszonych do dofinansowania prac przedwdrożeniowych lub innych działań CTT CITTRU związanych </w:t>
      </w:r>
      <w:r w:rsidR="00772C3C">
        <w:rPr>
          <w:rFonts w:cs="Times New Roman"/>
          <w:sz w:val="20"/>
          <w:szCs w:val="20"/>
        </w:rPr>
        <w:br/>
      </w:r>
      <w:r w:rsidRPr="00AE0C62">
        <w:rPr>
          <w:rFonts w:cs="Times New Roman"/>
          <w:sz w:val="20"/>
          <w:szCs w:val="20"/>
        </w:rPr>
        <w:t>z komercjalizacją wyników badań naukowych.</w:t>
      </w:r>
    </w:p>
    <w:p w14:paraId="70848196" w14:textId="77777777" w:rsidR="00A2715C" w:rsidRPr="00AE0C62"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 xml:space="preserve">Kierownik na żądanie Dyrektora lub Rady przedstawi we wskazanym terminie raport lub prezentację dotyczące zrealizowanych prac przedwdrożeniowych, również w trakcie realizacji tych prac, przy czym termin, o którym mowa, nie może być krótszy niż 14 dni roboczych. </w:t>
      </w:r>
    </w:p>
    <w:p w14:paraId="228D3A85" w14:textId="65A3558F" w:rsidR="00A2715C" w:rsidRPr="00073273" w:rsidRDefault="00A2715C" w:rsidP="00073273">
      <w:pPr>
        <w:numPr>
          <w:ilvl w:val="0"/>
          <w:numId w:val="7"/>
        </w:numPr>
        <w:tabs>
          <w:tab w:val="left" w:pos="426"/>
        </w:tabs>
        <w:spacing w:after="0"/>
        <w:ind w:left="426" w:hanging="426"/>
        <w:jc w:val="both"/>
        <w:rPr>
          <w:rFonts w:cs="Times New Roman"/>
          <w:sz w:val="20"/>
          <w:szCs w:val="20"/>
        </w:rPr>
      </w:pPr>
      <w:r w:rsidRPr="00AE0C62">
        <w:rPr>
          <w:rFonts w:cs="Times New Roman"/>
          <w:sz w:val="20"/>
          <w:szCs w:val="20"/>
        </w:rPr>
        <w:t xml:space="preserve">W przypadku organizacji przez CTT CITTRU wydarzenia podsumowującego wyniki prac przedwdrożeniowych Kierownik lub wyznaczony przez niego przedstawiciel zespołu zobowiązany będzie do prezentacji Innowacji przed przedstawicielami podmiotów zainteresowanych wdrożeniem Innowacji oraz do wzięcia udziału w szkoleniach przygotowujących do takiego wydarzenia. </w:t>
      </w:r>
    </w:p>
    <w:p w14:paraId="3BA1881F" w14:textId="1953E0F5" w:rsidR="00772C3C" w:rsidRDefault="00A2715C" w:rsidP="00567FDE">
      <w:pPr>
        <w:numPr>
          <w:ilvl w:val="0"/>
          <w:numId w:val="7"/>
        </w:numPr>
        <w:tabs>
          <w:tab w:val="left" w:pos="426"/>
        </w:tabs>
        <w:spacing w:after="0"/>
        <w:ind w:left="448" w:hanging="448"/>
        <w:jc w:val="both"/>
        <w:rPr>
          <w:rFonts w:cs="Times New Roman"/>
          <w:sz w:val="20"/>
          <w:szCs w:val="20"/>
        </w:rPr>
      </w:pPr>
      <w:r w:rsidRPr="00AE0C62">
        <w:rPr>
          <w:rFonts w:cs="Times New Roman"/>
          <w:sz w:val="20"/>
          <w:szCs w:val="20"/>
        </w:rPr>
        <w:t>Rażące uchybienia w wydatkowaniu środków oraz realizacji zadań niezgodnych z harmonogramem mogą skutkować przerwaniem lub wcześniejszym zakończeniem realizacji prac przedwdrożeniowych</w:t>
      </w:r>
      <w:r w:rsidRPr="00AE0C62" w:rsidDel="00AE13DC">
        <w:rPr>
          <w:rFonts w:cs="Times New Roman"/>
          <w:sz w:val="20"/>
          <w:szCs w:val="20"/>
        </w:rPr>
        <w:t xml:space="preserve"> </w:t>
      </w:r>
      <w:r w:rsidRPr="00AE0C62">
        <w:rPr>
          <w:rFonts w:cs="Times New Roman"/>
          <w:sz w:val="20"/>
          <w:szCs w:val="20"/>
        </w:rPr>
        <w:t xml:space="preserve">decyzją Dyrektora. W takim przypadku Rada może zobowiązać Kierownika do zwrotu nieprawidłowo wydatkowanych środków. W szczególnie uzasadnionych przypadkach Dyrektor może podjąć decyzję </w:t>
      </w:r>
      <w:r w:rsidR="00772C3C">
        <w:rPr>
          <w:rFonts w:cs="Times New Roman"/>
          <w:sz w:val="20"/>
          <w:szCs w:val="20"/>
        </w:rPr>
        <w:br/>
      </w:r>
      <w:r w:rsidRPr="00AE0C62">
        <w:rPr>
          <w:rFonts w:cs="Times New Roman"/>
          <w:sz w:val="20"/>
          <w:szCs w:val="20"/>
        </w:rPr>
        <w:t>o wykluczeniu Kierownika z możliwości uzyskania dofinansowania w ramach kolejnych konkursów ogłaszanych przez CTT CITTRU.</w:t>
      </w:r>
    </w:p>
    <w:p w14:paraId="41E9E0CF" w14:textId="77777777" w:rsidR="00567FDE" w:rsidRPr="00567FDE" w:rsidRDefault="00567FDE" w:rsidP="00567FDE">
      <w:pPr>
        <w:tabs>
          <w:tab w:val="left" w:pos="426"/>
        </w:tabs>
        <w:spacing w:after="0"/>
        <w:ind w:left="448"/>
        <w:jc w:val="both"/>
        <w:rPr>
          <w:rFonts w:cs="Times New Roman"/>
          <w:sz w:val="20"/>
          <w:szCs w:val="20"/>
        </w:rPr>
      </w:pPr>
    </w:p>
    <w:p w14:paraId="40C734EE" w14:textId="2D4701D9" w:rsidR="00AE0C62" w:rsidRPr="00B454FD" w:rsidRDefault="00DE4103" w:rsidP="00073273">
      <w:pPr>
        <w:spacing w:after="0"/>
        <w:rPr>
          <w:rFonts w:cs="Times New Roman"/>
          <w:b/>
          <w:sz w:val="24"/>
          <w:szCs w:val="24"/>
        </w:rPr>
      </w:pPr>
      <w:r>
        <w:rPr>
          <w:rFonts w:cs="Times New Roman"/>
          <w:b/>
          <w:sz w:val="24"/>
          <w:szCs w:val="24"/>
        </w:rPr>
        <w:t>I</w:t>
      </w:r>
      <w:r w:rsidR="00AE0C62" w:rsidRPr="00B454FD">
        <w:rPr>
          <w:rFonts w:cs="Times New Roman"/>
          <w:b/>
          <w:sz w:val="24"/>
          <w:szCs w:val="24"/>
        </w:rPr>
        <w:t xml:space="preserve">V. Postanowienia dotyczące Rady Nadzorującej CITTRU  </w:t>
      </w:r>
    </w:p>
    <w:p w14:paraId="214305CE" w14:textId="14524B53" w:rsidR="00ED72D3" w:rsidRPr="00A2715C" w:rsidRDefault="00ED72D3" w:rsidP="00073273">
      <w:pPr>
        <w:spacing w:after="0"/>
        <w:jc w:val="both"/>
        <w:rPr>
          <w:rFonts w:cs="Times New Roman"/>
          <w:sz w:val="20"/>
          <w:szCs w:val="20"/>
        </w:rPr>
      </w:pPr>
    </w:p>
    <w:p w14:paraId="27C42452" w14:textId="27382822" w:rsidR="008521C7" w:rsidRPr="00AE0C62" w:rsidRDefault="008521C7" w:rsidP="00073273">
      <w:pPr>
        <w:numPr>
          <w:ilvl w:val="0"/>
          <w:numId w:val="18"/>
        </w:numPr>
        <w:spacing w:after="0"/>
        <w:jc w:val="both"/>
        <w:rPr>
          <w:rFonts w:cs="Times New Roman"/>
          <w:sz w:val="20"/>
          <w:szCs w:val="20"/>
        </w:rPr>
      </w:pPr>
      <w:r w:rsidRPr="00AE0C62">
        <w:rPr>
          <w:rFonts w:cs="Times New Roman"/>
          <w:sz w:val="20"/>
          <w:szCs w:val="20"/>
        </w:rPr>
        <w:t xml:space="preserve">W zakresie zatwierdzania decyzji dotyczących zakwalifikowania Innowacji do udzielenia wsparcia w ramach prac przedwdrożeniowych zadania Rady są następujące: </w:t>
      </w:r>
    </w:p>
    <w:p w14:paraId="7D692A93" w14:textId="4693414A" w:rsidR="008521C7" w:rsidRPr="00AE0C62" w:rsidRDefault="008521C7" w:rsidP="00073273">
      <w:pPr>
        <w:pStyle w:val="Akapitzlist"/>
        <w:numPr>
          <w:ilvl w:val="0"/>
          <w:numId w:val="14"/>
        </w:numPr>
        <w:spacing w:after="0"/>
        <w:jc w:val="both"/>
        <w:rPr>
          <w:rFonts w:cs="Times New Roman"/>
          <w:b w:val="0"/>
          <w:sz w:val="20"/>
          <w:szCs w:val="20"/>
        </w:rPr>
      </w:pPr>
      <w:r w:rsidRPr="00AE0C62">
        <w:rPr>
          <w:rFonts w:cs="Times New Roman"/>
          <w:b w:val="0"/>
          <w:sz w:val="20"/>
          <w:szCs w:val="20"/>
        </w:rPr>
        <w:t>zapoznanie się z wnioskami przesłanymi do członków Rady przez Dyrektora wraz z rekomendacją Dyrektora;</w:t>
      </w:r>
    </w:p>
    <w:p w14:paraId="5E1A1B54" w14:textId="302A52FA" w:rsidR="008521C7" w:rsidRPr="00AE0C62" w:rsidRDefault="008521C7" w:rsidP="00073273">
      <w:pPr>
        <w:pStyle w:val="Akapitzlist"/>
        <w:numPr>
          <w:ilvl w:val="0"/>
          <w:numId w:val="14"/>
        </w:numPr>
        <w:spacing w:after="0"/>
        <w:jc w:val="both"/>
        <w:rPr>
          <w:rFonts w:cs="Times New Roman"/>
          <w:b w:val="0"/>
          <w:sz w:val="20"/>
          <w:szCs w:val="20"/>
        </w:rPr>
      </w:pPr>
      <w:r w:rsidRPr="00AE0C62">
        <w:rPr>
          <w:rFonts w:cs="Times New Roman"/>
          <w:b w:val="0"/>
          <w:sz w:val="20"/>
          <w:szCs w:val="20"/>
        </w:rPr>
        <w:t xml:space="preserve">uczestnictwo w procesie wydawania decyzji o dofinansowaniu prac przedwdrożeniowych poprzez zatwierdzanie bądź odrzucanie rekomendacji </w:t>
      </w:r>
    </w:p>
    <w:p w14:paraId="7EA2BA8D" w14:textId="20BA73E7" w:rsidR="008521C7" w:rsidRPr="00AE0C62" w:rsidRDefault="008521C7" w:rsidP="00073273">
      <w:pPr>
        <w:numPr>
          <w:ilvl w:val="0"/>
          <w:numId w:val="18"/>
        </w:numPr>
        <w:spacing w:after="0"/>
        <w:jc w:val="both"/>
        <w:rPr>
          <w:rFonts w:cs="Times New Roman"/>
          <w:sz w:val="20"/>
          <w:szCs w:val="20"/>
        </w:rPr>
      </w:pPr>
      <w:r w:rsidRPr="00AE0C62">
        <w:rPr>
          <w:rFonts w:cs="Times New Roman"/>
          <w:sz w:val="20"/>
          <w:szCs w:val="20"/>
        </w:rPr>
        <w:t xml:space="preserve">Przed rozpoczęciem pracy członkowie Rady zobowiązani są do podpisania oświadczenia o poufności </w:t>
      </w:r>
      <w:r w:rsidR="00073273">
        <w:rPr>
          <w:rFonts w:cs="Times New Roman"/>
          <w:sz w:val="20"/>
          <w:szCs w:val="20"/>
        </w:rPr>
        <w:br/>
      </w:r>
      <w:r w:rsidRPr="00AE0C62">
        <w:rPr>
          <w:rFonts w:cs="Times New Roman"/>
          <w:sz w:val="20"/>
          <w:szCs w:val="20"/>
        </w:rPr>
        <w:t>i bezstronności oraz do zachowania w tajemnicy informacji uzyskanych w związku z pełnieniem swojej funkcji.</w:t>
      </w:r>
    </w:p>
    <w:p w14:paraId="2CAC903C" w14:textId="2B3B42B9" w:rsidR="008521C7" w:rsidRPr="00AE0C62" w:rsidRDefault="008521C7" w:rsidP="00073273">
      <w:pPr>
        <w:numPr>
          <w:ilvl w:val="0"/>
          <w:numId w:val="18"/>
        </w:numPr>
        <w:spacing w:after="0"/>
        <w:jc w:val="both"/>
        <w:rPr>
          <w:rFonts w:cs="Times New Roman"/>
          <w:sz w:val="20"/>
          <w:szCs w:val="20"/>
        </w:rPr>
      </w:pPr>
      <w:r w:rsidRPr="00AE0C62">
        <w:rPr>
          <w:rFonts w:cs="Times New Roman"/>
          <w:sz w:val="20"/>
          <w:szCs w:val="20"/>
        </w:rPr>
        <w:t xml:space="preserve">Każdy członek Rady zobowiązuje się do wykonywania swoich zadań z zachowaniem bezstronności. </w:t>
      </w:r>
      <w:r w:rsidR="00073273">
        <w:rPr>
          <w:rFonts w:cs="Times New Roman"/>
          <w:sz w:val="20"/>
          <w:szCs w:val="20"/>
        </w:rPr>
        <w:br/>
      </w:r>
      <w:r w:rsidRPr="00AE0C62">
        <w:rPr>
          <w:rFonts w:cs="Times New Roman"/>
          <w:sz w:val="20"/>
          <w:szCs w:val="20"/>
        </w:rPr>
        <w:t xml:space="preserve">W przypadku, jeśli w trakcie powierzonych zadań, w szczególności związanych z oceną danego wniosku </w:t>
      </w:r>
      <w:r w:rsidR="00073273">
        <w:rPr>
          <w:rFonts w:cs="Times New Roman"/>
          <w:sz w:val="20"/>
          <w:szCs w:val="20"/>
        </w:rPr>
        <w:br/>
      </w:r>
      <w:r w:rsidRPr="00AE0C62">
        <w:rPr>
          <w:rFonts w:cs="Times New Roman"/>
          <w:sz w:val="20"/>
          <w:szCs w:val="20"/>
        </w:rPr>
        <w:t>i z przyznawaniem dofinansowania prac przedwdrożeniowych, zaistnieją okoliczności mogące budzić uzasadnione wątpliwości co do bezstronności członka Rady w odniesieniu do przekazanego mu do oceny wniosku, jest on zobowiązany niezwłocznie zgłosić ich zaistnienie Dyrektorowi i wyłączyć się z oceny wniosku. W przypadku stwierdzenia przez któregokolwiek członka Rady okoliczności mogących budzić wątpliwości co do bezstronności jakiegokolwiek członka Rady, Rada w drodze głosowania może wyłączyć członka Rady, którego sprawa dotyczy, z udziału w podejmowaniu decyzji.</w:t>
      </w:r>
    </w:p>
    <w:p w14:paraId="6AF0A34C" w14:textId="034E5004" w:rsidR="00DD3E85" w:rsidRPr="00A2715C" w:rsidRDefault="008521C7" w:rsidP="00073273">
      <w:pPr>
        <w:numPr>
          <w:ilvl w:val="0"/>
          <w:numId w:val="18"/>
        </w:numPr>
        <w:spacing w:after="0"/>
        <w:jc w:val="both"/>
        <w:rPr>
          <w:rFonts w:cs="Times New Roman"/>
          <w:sz w:val="20"/>
          <w:szCs w:val="20"/>
        </w:rPr>
      </w:pPr>
      <w:r w:rsidRPr="00AE0C62">
        <w:rPr>
          <w:rFonts w:cs="Times New Roman"/>
          <w:sz w:val="20"/>
          <w:szCs w:val="20"/>
        </w:rPr>
        <w:t>Decyzje Rady zapadają zwykłą większością głosów.</w:t>
      </w:r>
    </w:p>
    <w:sectPr w:rsidR="00DD3E85" w:rsidRPr="00A2715C" w:rsidSect="003B78FF">
      <w:headerReference w:type="default" r:id="rId8"/>
      <w:pgSz w:w="11906" w:h="16838" w:code="9"/>
      <w:pgMar w:top="1417" w:right="1417" w:bottom="1417" w:left="1417"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B76B" w14:textId="77777777" w:rsidR="004D34C1" w:rsidRDefault="004D34C1" w:rsidP="00122DDA">
      <w:pPr>
        <w:spacing w:after="0" w:line="240" w:lineRule="auto"/>
      </w:pPr>
      <w:r>
        <w:separator/>
      </w:r>
    </w:p>
  </w:endnote>
  <w:endnote w:type="continuationSeparator" w:id="0">
    <w:p w14:paraId="0B000847" w14:textId="77777777" w:rsidR="004D34C1" w:rsidRDefault="004D34C1"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4ADB" w14:textId="77777777" w:rsidR="004D34C1" w:rsidRDefault="004D34C1" w:rsidP="00122DDA">
      <w:pPr>
        <w:spacing w:after="0" w:line="240" w:lineRule="auto"/>
      </w:pPr>
      <w:r>
        <w:separator/>
      </w:r>
    </w:p>
  </w:footnote>
  <w:footnote w:type="continuationSeparator" w:id="0">
    <w:p w14:paraId="28B8611F" w14:textId="77777777" w:rsidR="004D34C1" w:rsidRDefault="004D34C1"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0FCD" w14:textId="77777777" w:rsidR="009628B7" w:rsidRPr="009B5F91" w:rsidRDefault="009B5F91" w:rsidP="009B5F91">
    <w:pPr>
      <w:pStyle w:val="Nagwek"/>
      <w:tabs>
        <w:tab w:val="clear" w:pos="4536"/>
        <w:tab w:val="clear" w:pos="9072"/>
        <w:tab w:val="center" w:pos="142"/>
        <w:tab w:val="right" w:pos="14034"/>
      </w:tabs>
      <w:spacing w:after="240"/>
      <w:ind w:left="142"/>
      <w:rPr>
        <w:rFonts w:ascii="Times New Roman" w:hAnsi="Times New Roman" w:cs="Times New Roman"/>
        <w:b/>
        <w:sz w:val="24"/>
        <w:szCs w:val="24"/>
      </w:rPr>
    </w:pPr>
    <w:r>
      <w:rPr>
        <w:b/>
        <w:noProof/>
      </w:rPr>
      <w:drawing>
        <wp:anchor distT="0" distB="0" distL="114300" distR="114300" simplePos="0" relativeHeight="251661312" behindDoc="1" locked="0" layoutInCell="1" allowOverlap="1" wp14:anchorId="1D363529" wp14:editId="43A214A6">
          <wp:simplePos x="0" y="0"/>
          <wp:positionH relativeFrom="column">
            <wp:posOffset>5024120</wp:posOffset>
          </wp:positionH>
          <wp:positionV relativeFrom="paragraph">
            <wp:posOffset>280670</wp:posOffset>
          </wp:positionV>
          <wp:extent cx="705485" cy="425450"/>
          <wp:effectExtent l="0" t="0" r="0" b="0"/>
          <wp:wrapTight wrapText="bothSides">
            <wp:wrapPolygon edited="0">
              <wp:start x="0" y="0"/>
              <wp:lineTo x="0" y="20310"/>
              <wp:lineTo x="20997" y="20310"/>
              <wp:lineTo x="20997" y="0"/>
              <wp:lineTo x="0" y="0"/>
            </wp:wrapPolygon>
          </wp:wrapTight>
          <wp:docPr id="5" name="Obraz 5"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BFF0B55" wp14:editId="42628C5A">
          <wp:simplePos x="0" y="0"/>
          <wp:positionH relativeFrom="column">
            <wp:posOffset>61595</wp:posOffset>
          </wp:positionH>
          <wp:positionV relativeFrom="paragraph">
            <wp:posOffset>299720</wp:posOffset>
          </wp:positionV>
          <wp:extent cx="900430" cy="427355"/>
          <wp:effectExtent l="0" t="0" r="0" b="0"/>
          <wp:wrapTight wrapText="bothSides">
            <wp:wrapPolygon edited="0">
              <wp:start x="0" y="0"/>
              <wp:lineTo x="0" y="20220"/>
              <wp:lineTo x="21021" y="20220"/>
              <wp:lineTo x="21021" y="0"/>
              <wp:lineTo x="0" y="0"/>
            </wp:wrapPolygon>
          </wp:wrapTight>
          <wp:docPr id="6" name="Obraz 6"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430" cy="427355"/>
                  </a:xfrm>
                  <a:prstGeom prst="rect">
                    <a:avLst/>
                  </a:prstGeom>
                  <a:noFill/>
                  <a:ln>
                    <a:noFill/>
                  </a:ln>
                </pic:spPr>
              </pic:pic>
            </a:graphicData>
          </a:graphic>
        </wp:anchor>
      </w:drawing>
    </w:r>
    <w:r w:rsidR="00A82872">
      <w:rPr>
        <w:noProof/>
      </w:rPr>
      <w:ptab w:relativeTo="margin" w:alignment="left" w:leader="none"/>
    </w:r>
    <w:r w:rsidR="00DE5F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sidR="001B327F">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5F5B">
      <w:rPr>
        <w:rFonts w:ascii="Times New Roman" w:hAnsi="Times New Roman" w:cs="Times New Roman"/>
        <w:b/>
        <w:sz w:val="24"/>
        <w:szCs w:val="24"/>
      </w:rPr>
      <w:t xml:space="preserve">   </w:t>
    </w:r>
    <w:r w:rsidR="001B32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32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72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48B2">
      <w:rPr>
        <w:rFonts w:ascii="Times New Roman" w:hAnsi="Times New Roman" w:cs="Times New Roman"/>
        <w:b/>
        <w:noProof/>
        <w:sz w:val="24"/>
        <w:szCs w:val="24"/>
      </w:rPr>
      <w:ptab w:relativeTo="margin" w:alignment="right" w:leader="none"/>
    </w:r>
    <w:r w:rsidR="002F48B2">
      <w:rPr>
        <w:rFonts w:ascii="Times New Roman" w:hAnsi="Times New Roman" w:cs="Times New Roman"/>
        <w:b/>
        <w:noProof/>
        <w:sz w:val="24"/>
        <w:szCs w:val="24"/>
      </w:rPr>
      <w:ptab w:relativeTo="margin" w:alignment="right" w:leader="none"/>
    </w:r>
    <w:r>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68"/>
    <w:multiLevelType w:val="hybridMultilevel"/>
    <w:tmpl w:val="B5E00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53601"/>
    <w:multiLevelType w:val="hybridMultilevel"/>
    <w:tmpl w:val="2202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21009"/>
    <w:multiLevelType w:val="hybridMultilevel"/>
    <w:tmpl w:val="F222853C"/>
    <w:lvl w:ilvl="0" w:tplc="EE8E7C2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651899"/>
    <w:multiLevelType w:val="hybridMultilevel"/>
    <w:tmpl w:val="AF8E5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4E4008"/>
    <w:multiLevelType w:val="hybridMultilevel"/>
    <w:tmpl w:val="469E84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3759A"/>
    <w:multiLevelType w:val="hybridMultilevel"/>
    <w:tmpl w:val="AA04D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BD44EE"/>
    <w:multiLevelType w:val="hybridMultilevel"/>
    <w:tmpl w:val="F222853C"/>
    <w:lvl w:ilvl="0" w:tplc="EE8E7C2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17"/>
  </w:num>
  <w:num w:numId="4">
    <w:abstractNumId w:val="4"/>
  </w:num>
  <w:num w:numId="5">
    <w:abstractNumId w:val="6"/>
  </w:num>
  <w:num w:numId="6">
    <w:abstractNumId w:val="10"/>
  </w:num>
  <w:num w:numId="7">
    <w:abstractNumId w:val="3"/>
  </w:num>
  <w:num w:numId="8">
    <w:abstractNumId w:val="16"/>
  </w:num>
  <w:num w:numId="9">
    <w:abstractNumId w:val="12"/>
  </w:num>
  <w:num w:numId="10">
    <w:abstractNumId w:val="7"/>
  </w:num>
  <w:num w:numId="11">
    <w:abstractNumId w:val="13"/>
  </w:num>
  <w:num w:numId="12">
    <w:abstractNumId w:val="14"/>
  </w:num>
  <w:num w:numId="13">
    <w:abstractNumId w:val="0"/>
  </w:num>
  <w:num w:numId="14">
    <w:abstractNumId w:val="8"/>
  </w:num>
  <w:num w:numId="15">
    <w:abstractNumId w:val="5"/>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DA"/>
    <w:rsid w:val="00000B0F"/>
    <w:rsid w:val="000028F7"/>
    <w:rsid w:val="000104B9"/>
    <w:rsid w:val="00015364"/>
    <w:rsid w:val="000261D0"/>
    <w:rsid w:val="000263CC"/>
    <w:rsid w:val="000267E0"/>
    <w:rsid w:val="00033398"/>
    <w:rsid w:val="000375FC"/>
    <w:rsid w:val="00041926"/>
    <w:rsid w:val="00045F66"/>
    <w:rsid w:val="00051F49"/>
    <w:rsid w:val="00054284"/>
    <w:rsid w:val="0005589F"/>
    <w:rsid w:val="00057D25"/>
    <w:rsid w:val="00062352"/>
    <w:rsid w:val="000632E8"/>
    <w:rsid w:val="0006540A"/>
    <w:rsid w:val="00065E15"/>
    <w:rsid w:val="00073273"/>
    <w:rsid w:val="00093F04"/>
    <w:rsid w:val="000974BA"/>
    <w:rsid w:val="000A35DF"/>
    <w:rsid w:val="000B2C33"/>
    <w:rsid w:val="000B487D"/>
    <w:rsid w:val="000B50D7"/>
    <w:rsid w:val="000C5A1F"/>
    <w:rsid w:val="000D269B"/>
    <w:rsid w:val="000E440D"/>
    <w:rsid w:val="000E5188"/>
    <w:rsid w:val="0010763C"/>
    <w:rsid w:val="00120CD7"/>
    <w:rsid w:val="00122DDA"/>
    <w:rsid w:val="0012492E"/>
    <w:rsid w:val="00131DC3"/>
    <w:rsid w:val="00136387"/>
    <w:rsid w:val="001536AE"/>
    <w:rsid w:val="00154D47"/>
    <w:rsid w:val="00162BF4"/>
    <w:rsid w:val="00162FC4"/>
    <w:rsid w:val="001825E1"/>
    <w:rsid w:val="001832D0"/>
    <w:rsid w:val="0018552E"/>
    <w:rsid w:val="0019013E"/>
    <w:rsid w:val="001A47AC"/>
    <w:rsid w:val="001A4AE6"/>
    <w:rsid w:val="001B0BD8"/>
    <w:rsid w:val="001B327F"/>
    <w:rsid w:val="001B5E79"/>
    <w:rsid w:val="001C6BDF"/>
    <w:rsid w:val="001C6D84"/>
    <w:rsid w:val="001D41C7"/>
    <w:rsid w:val="001E0AA9"/>
    <w:rsid w:val="001F03C9"/>
    <w:rsid w:val="001F2C4E"/>
    <w:rsid w:val="001F513B"/>
    <w:rsid w:val="001F7D16"/>
    <w:rsid w:val="00203B2C"/>
    <w:rsid w:val="00217DFA"/>
    <w:rsid w:val="002236BA"/>
    <w:rsid w:val="00226FB0"/>
    <w:rsid w:val="0024234D"/>
    <w:rsid w:val="00244CC4"/>
    <w:rsid w:val="002510C8"/>
    <w:rsid w:val="0025131A"/>
    <w:rsid w:val="00261B14"/>
    <w:rsid w:val="0027474C"/>
    <w:rsid w:val="00274944"/>
    <w:rsid w:val="00280E2A"/>
    <w:rsid w:val="002851EA"/>
    <w:rsid w:val="002A73E3"/>
    <w:rsid w:val="002B1816"/>
    <w:rsid w:val="002B77C9"/>
    <w:rsid w:val="002C3470"/>
    <w:rsid w:val="002C6E8D"/>
    <w:rsid w:val="002E074B"/>
    <w:rsid w:val="002E1FE6"/>
    <w:rsid w:val="002E5951"/>
    <w:rsid w:val="002F0540"/>
    <w:rsid w:val="002F48B2"/>
    <w:rsid w:val="00301E60"/>
    <w:rsid w:val="00302731"/>
    <w:rsid w:val="003054D6"/>
    <w:rsid w:val="00307C86"/>
    <w:rsid w:val="0031531D"/>
    <w:rsid w:val="003162E3"/>
    <w:rsid w:val="00320BCE"/>
    <w:rsid w:val="00334768"/>
    <w:rsid w:val="00343D55"/>
    <w:rsid w:val="003448CE"/>
    <w:rsid w:val="00352B4D"/>
    <w:rsid w:val="00357581"/>
    <w:rsid w:val="00360B8E"/>
    <w:rsid w:val="00364A3F"/>
    <w:rsid w:val="00380B56"/>
    <w:rsid w:val="00386BF3"/>
    <w:rsid w:val="00397633"/>
    <w:rsid w:val="003A35CB"/>
    <w:rsid w:val="003B14F9"/>
    <w:rsid w:val="003B31B9"/>
    <w:rsid w:val="003B6012"/>
    <w:rsid w:val="003B64B6"/>
    <w:rsid w:val="003B78FF"/>
    <w:rsid w:val="003C12AF"/>
    <w:rsid w:val="003C3D6F"/>
    <w:rsid w:val="003C45B9"/>
    <w:rsid w:val="003C67D0"/>
    <w:rsid w:val="003E01B6"/>
    <w:rsid w:val="003E2A13"/>
    <w:rsid w:val="00402B65"/>
    <w:rsid w:val="004116DC"/>
    <w:rsid w:val="00413123"/>
    <w:rsid w:val="00417572"/>
    <w:rsid w:val="00417B15"/>
    <w:rsid w:val="00421C35"/>
    <w:rsid w:val="00426BDB"/>
    <w:rsid w:val="0043207B"/>
    <w:rsid w:val="004359D6"/>
    <w:rsid w:val="00444554"/>
    <w:rsid w:val="00444728"/>
    <w:rsid w:val="00446A09"/>
    <w:rsid w:val="0045026B"/>
    <w:rsid w:val="0045238A"/>
    <w:rsid w:val="00454EAD"/>
    <w:rsid w:val="00455037"/>
    <w:rsid w:val="00466390"/>
    <w:rsid w:val="00472AFC"/>
    <w:rsid w:val="0047495D"/>
    <w:rsid w:val="0047587D"/>
    <w:rsid w:val="004846ED"/>
    <w:rsid w:val="00485C19"/>
    <w:rsid w:val="0049498E"/>
    <w:rsid w:val="00497F06"/>
    <w:rsid w:val="004A440A"/>
    <w:rsid w:val="004A503B"/>
    <w:rsid w:val="004A5671"/>
    <w:rsid w:val="004A655E"/>
    <w:rsid w:val="004B2968"/>
    <w:rsid w:val="004B38E6"/>
    <w:rsid w:val="004B6005"/>
    <w:rsid w:val="004B6B1F"/>
    <w:rsid w:val="004C12DC"/>
    <w:rsid w:val="004C65AF"/>
    <w:rsid w:val="004D34C1"/>
    <w:rsid w:val="004E1A02"/>
    <w:rsid w:val="004E2B00"/>
    <w:rsid w:val="004E7DFD"/>
    <w:rsid w:val="004F1062"/>
    <w:rsid w:val="004F6F0F"/>
    <w:rsid w:val="00500D24"/>
    <w:rsid w:val="00506C6A"/>
    <w:rsid w:val="005124BF"/>
    <w:rsid w:val="0053143F"/>
    <w:rsid w:val="005343AE"/>
    <w:rsid w:val="005356A4"/>
    <w:rsid w:val="00537B5E"/>
    <w:rsid w:val="005404E8"/>
    <w:rsid w:val="00545687"/>
    <w:rsid w:val="00545E56"/>
    <w:rsid w:val="005535A9"/>
    <w:rsid w:val="00555087"/>
    <w:rsid w:val="00567FDE"/>
    <w:rsid w:val="00581B47"/>
    <w:rsid w:val="00584EA0"/>
    <w:rsid w:val="00587B1B"/>
    <w:rsid w:val="00595FEE"/>
    <w:rsid w:val="005A2FCE"/>
    <w:rsid w:val="005A37E5"/>
    <w:rsid w:val="005B69BA"/>
    <w:rsid w:val="005C1657"/>
    <w:rsid w:val="005C3DDC"/>
    <w:rsid w:val="005C4BFA"/>
    <w:rsid w:val="005E1325"/>
    <w:rsid w:val="005E527C"/>
    <w:rsid w:val="005F273C"/>
    <w:rsid w:val="00601E38"/>
    <w:rsid w:val="006073DB"/>
    <w:rsid w:val="006078C7"/>
    <w:rsid w:val="0061141F"/>
    <w:rsid w:val="00611610"/>
    <w:rsid w:val="00611DB5"/>
    <w:rsid w:val="00617DDB"/>
    <w:rsid w:val="006202D7"/>
    <w:rsid w:val="00624660"/>
    <w:rsid w:val="00624CA2"/>
    <w:rsid w:val="006256B8"/>
    <w:rsid w:val="00632FC1"/>
    <w:rsid w:val="00646CAF"/>
    <w:rsid w:val="00664705"/>
    <w:rsid w:val="0067422C"/>
    <w:rsid w:val="00684B57"/>
    <w:rsid w:val="006B3C35"/>
    <w:rsid w:val="006B5E67"/>
    <w:rsid w:val="006E04D0"/>
    <w:rsid w:val="006E1859"/>
    <w:rsid w:val="006E2A93"/>
    <w:rsid w:val="006E3433"/>
    <w:rsid w:val="006E3636"/>
    <w:rsid w:val="006F33CB"/>
    <w:rsid w:val="007126E8"/>
    <w:rsid w:val="00715EDF"/>
    <w:rsid w:val="00717D20"/>
    <w:rsid w:val="00721A92"/>
    <w:rsid w:val="00733FA5"/>
    <w:rsid w:val="00755230"/>
    <w:rsid w:val="0076771C"/>
    <w:rsid w:val="00772C3C"/>
    <w:rsid w:val="007817C2"/>
    <w:rsid w:val="0078287E"/>
    <w:rsid w:val="0078307B"/>
    <w:rsid w:val="00791809"/>
    <w:rsid w:val="007B418A"/>
    <w:rsid w:val="007C02F7"/>
    <w:rsid w:val="007C5899"/>
    <w:rsid w:val="007C59A7"/>
    <w:rsid w:val="007E2D95"/>
    <w:rsid w:val="007E3DBA"/>
    <w:rsid w:val="007F39B4"/>
    <w:rsid w:val="007F50D6"/>
    <w:rsid w:val="00804EDC"/>
    <w:rsid w:val="00805D40"/>
    <w:rsid w:val="0082168A"/>
    <w:rsid w:val="00824A0B"/>
    <w:rsid w:val="008250E1"/>
    <w:rsid w:val="008335B2"/>
    <w:rsid w:val="0083555B"/>
    <w:rsid w:val="00840802"/>
    <w:rsid w:val="0084227C"/>
    <w:rsid w:val="008521C7"/>
    <w:rsid w:val="008546B7"/>
    <w:rsid w:val="00867CFC"/>
    <w:rsid w:val="00872171"/>
    <w:rsid w:val="00884EB6"/>
    <w:rsid w:val="00885974"/>
    <w:rsid w:val="008874AF"/>
    <w:rsid w:val="008951AA"/>
    <w:rsid w:val="0089680D"/>
    <w:rsid w:val="008B4BED"/>
    <w:rsid w:val="008B551E"/>
    <w:rsid w:val="008D2211"/>
    <w:rsid w:val="008E3E6E"/>
    <w:rsid w:val="008E6487"/>
    <w:rsid w:val="008E75B3"/>
    <w:rsid w:val="008E7A59"/>
    <w:rsid w:val="008F0149"/>
    <w:rsid w:val="008F1E52"/>
    <w:rsid w:val="00904534"/>
    <w:rsid w:val="0090750C"/>
    <w:rsid w:val="00910155"/>
    <w:rsid w:val="00910D66"/>
    <w:rsid w:val="00911952"/>
    <w:rsid w:val="00916E14"/>
    <w:rsid w:val="00925F65"/>
    <w:rsid w:val="009260C7"/>
    <w:rsid w:val="00927471"/>
    <w:rsid w:val="00927F3D"/>
    <w:rsid w:val="009339F9"/>
    <w:rsid w:val="00933A9B"/>
    <w:rsid w:val="00934612"/>
    <w:rsid w:val="0095001D"/>
    <w:rsid w:val="0095067C"/>
    <w:rsid w:val="00957DF4"/>
    <w:rsid w:val="00957EC4"/>
    <w:rsid w:val="0096009D"/>
    <w:rsid w:val="009628B7"/>
    <w:rsid w:val="0096639C"/>
    <w:rsid w:val="0097053E"/>
    <w:rsid w:val="00971B5D"/>
    <w:rsid w:val="0099363C"/>
    <w:rsid w:val="009B5F91"/>
    <w:rsid w:val="009D0E10"/>
    <w:rsid w:val="009D2867"/>
    <w:rsid w:val="009D5A2B"/>
    <w:rsid w:val="009E009F"/>
    <w:rsid w:val="009E6149"/>
    <w:rsid w:val="00A14CD4"/>
    <w:rsid w:val="00A23644"/>
    <w:rsid w:val="00A2715C"/>
    <w:rsid w:val="00A313FF"/>
    <w:rsid w:val="00A32B46"/>
    <w:rsid w:val="00A36C0C"/>
    <w:rsid w:val="00A40845"/>
    <w:rsid w:val="00A46A2B"/>
    <w:rsid w:val="00A47FEB"/>
    <w:rsid w:val="00A6335A"/>
    <w:rsid w:val="00A711F0"/>
    <w:rsid w:val="00A75094"/>
    <w:rsid w:val="00A82872"/>
    <w:rsid w:val="00A92DF7"/>
    <w:rsid w:val="00AA34EA"/>
    <w:rsid w:val="00AA49CD"/>
    <w:rsid w:val="00AB1930"/>
    <w:rsid w:val="00AB5731"/>
    <w:rsid w:val="00AB58D7"/>
    <w:rsid w:val="00AB5DBA"/>
    <w:rsid w:val="00AB767B"/>
    <w:rsid w:val="00AC7C88"/>
    <w:rsid w:val="00AD2342"/>
    <w:rsid w:val="00AD7C6D"/>
    <w:rsid w:val="00AD7F8A"/>
    <w:rsid w:val="00AE0C62"/>
    <w:rsid w:val="00AE13DC"/>
    <w:rsid w:val="00AE14C0"/>
    <w:rsid w:val="00AF1E0A"/>
    <w:rsid w:val="00AF29E7"/>
    <w:rsid w:val="00AF606D"/>
    <w:rsid w:val="00B130AA"/>
    <w:rsid w:val="00B21824"/>
    <w:rsid w:val="00B247A5"/>
    <w:rsid w:val="00B25F6D"/>
    <w:rsid w:val="00B271B8"/>
    <w:rsid w:val="00B334E3"/>
    <w:rsid w:val="00B33B3A"/>
    <w:rsid w:val="00B358C6"/>
    <w:rsid w:val="00B35D5E"/>
    <w:rsid w:val="00B3761E"/>
    <w:rsid w:val="00B454FD"/>
    <w:rsid w:val="00B50A94"/>
    <w:rsid w:val="00B5598F"/>
    <w:rsid w:val="00B63657"/>
    <w:rsid w:val="00B64BA2"/>
    <w:rsid w:val="00B723CD"/>
    <w:rsid w:val="00B72F8A"/>
    <w:rsid w:val="00B76DD7"/>
    <w:rsid w:val="00B8739C"/>
    <w:rsid w:val="00B941E8"/>
    <w:rsid w:val="00B94749"/>
    <w:rsid w:val="00BA125A"/>
    <w:rsid w:val="00BB1858"/>
    <w:rsid w:val="00BB5257"/>
    <w:rsid w:val="00BC70BE"/>
    <w:rsid w:val="00BD09D8"/>
    <w:rsid w:val="00BD4EA2"/>
    <w:rsid w:val="00BE5303"/>
    <w:rsid w:val="00BF14A4"/>
    <w:rsid w:val="00BF1C7A"/>
    <w:rsid w:val="00BF5A50"/>
    <w:rsid w:val="00C02377"/>
    <w:rsid w:val="00C208E6"/>
    <w:rsid w:val="00C2149B"/>
    <w:rsid w:val="00C313E7"/>
    <w:rsid w:val="00C31BED"/>
    <w:rsid w:val="00C31D93"/>
    <w:rsid w:val="00C36AC3"/>
    <w:rsid w:val="00C37DDE"/>
    <w:rsid w:val="00C403F2"/>
    <w:rsid w:val="00C450F7"/>
    <w:rsid w:val="00C57D89"/>
    <w:rsid w:val="00C73D6C"/>
    <w:rsid w:val="00C76F7A"/>
    <w:rsid w:val="00C773DE"/>
    <w:rsid w:val="00C85EA0"/>
    <w:rsid w:val="00C91934"/>
    <w:rsid w:val="00CA3C83"/>
    <w:rsid w:val="00CB4359"/>
    <w:rsid w:val="00CB6932"/>
    <w:rsid w:val="00CC20ED"/>
    <w:rsid w:val="00CC2DFD"/>
    <w:rsid w:val="00CD7164"/>
    <w:rsid w:val="00CE0940"/>
    <w:rsid w:val="00CE1A34"/>
    <w:rsid w:val="00CF27DE"/>
    <w:rsid w:val="00CF5F79"/>
    <w:rsid w:val="00CF67AB"/>
    <w:rsid w:val="00D00149"/>
    <w:rsid w:val="00D2128D"/>
    <w:rsid w:val="00D306CD"/>
    <w:rsid w:val="00D30C67"/>
    <w:rsid w:val="00D32A05"/>
    <w:rsid w:val="00D3571A"/>
    <w:rsid w:val="00D357EE"/>
    <w:rsid w:val="00D46FED"/>
    <w:rsid w:val="00D54497"/>
    <w:rsid w:val="00D67CE4"/>
    <w:rsid w:val="00D72442"/>
    <w:rsid w:val="00D87920"/>
    <w:rsid w:val="00D92759"/>
    <w:rsid w:val="00D9546B"/>
    <w:rsid w:val="00DA3158"/>
    <w:rsid w:val="00DC56D6"/>
    <w:rsid w:val="00DC6FFA"/>
    <w:rsid w:val="00DD30AC"/>
    <w:rsid w:val="00DD3E85"/>
    <w:rsid w:val="00DD4C3C"/>
    <w:rsid w:val="00DE2A89"/>
    <w:rsid w:val="00DE3F1C"/>
    <w:rsid w:val="00DE4103"/>
    <w:rsid w:val="00DE4210"/>
    <w:rsid w:val="00DE5F5B"/>
    <w:rsid w:val="00DE6FA2"/>
    <w:rsid w:val="00DF2FB5"/>
    <w:rsid w:val="00DF3E60"/>
    <w:rsid w:val="00E12211"/>
    <w:rsid w:val="00E21A52"/>
    <w:rsid w:val="00E21E28"/>
    <w:rsid w:val="00E21ED2"/>
    <w:rsid w:val="00E31466"/>
    <w:rsid w:val="00E331CE"/>
    <w:rsid w:val="00E35010"/>
    <w:rsid w:val="00E36B9C"/>
    <w:rsid w:val="00E411FB"/>
    <w:rsid w:val="00E44C11"/>
    <w:rsid w:val="00E5326B"/>
    <w:rsid w:val="00E54902"/>
    <w:rsid w:val="00E60541"/>
    <w:rsid w:val="00E638BE"/>
    <w:rsid w:val="00E66833"/>
    <w:rsid w:val="00E77171"/>
    <w:rsid w:val="00E86170"/>
    <w:rsid w:val="00E92955"/>
    <w:rsid w:val="00EA18FF"/>
    <w:rsid w:val="00EB4099"/>
    <w:rsid w:val="00EB7CBE"/>
    <w:rsid w:val="00EC5F24"/>
    <w:rsid w:val="00ED50D4"/>
    <w:rsid w:val="00ED72D3"/>
    <w:rsid w:val="00EE10BD"/>
    <w:rsid w:val="00EE520C"/>
    <w:rsid w:val="00EF00F4"/>
    <w:rsid w:val="00EF1EF7"/>
    <w:rsid w:val="00F0703D"/>
    <w:rsid w:val="00F10FE9"/>
    <w:rsid w:val="00F30122"/>
    <w:rsid w:val="00F35520"/>
    <w:rsid w:val="00F41DC3"/>
    <w:rsid w:val="00F44F9E"/>
    <w:rsid w:val="00F5201F"/>
    <w:rsid w:val="00F54930"/>
    <w:rsid w:val="00F57807"/>
    <w:rsid w:val="00F6097E"/>
    <w:rsid w:val="00F64145"/>
    <w:rsid w:val="00F6761B"/>
    <w:rsid w:val="00F67EE8"/>
    <w:rsid w:val="00F72040"/>
    <w:rsid w:val="00F7207F"/>
    <w:rsid w:val="00F77DCD"/>
    <w:rsid w:val="00F8337A"/>
    <w:rsid w:val="00F83C99"/>
    <w:rsid w:val="00F91A53"/>
    <w:rsid w:val="00F9539D"/>
    <w:rsid w:val="00F95D72"/>
    <w:rsid w:val="00FB3A3D"/>
    <w:rsid w:val="00FC341C"/>
    <w:rsid w:val="00FC7B1E"/>
    <w:rsid w:val="00FF08B3"/>
    <w:rsid w:val="00FF6958"/>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9F86A"/>
  <w15:docId w15:val="{524965DA-2E92-4871-8762-33D79112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D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Tekstprzypisukocowego">
    <w:name w:val="endnote text"/>
    <w:basedOn w:val="Normalny"/>
    <w:link w:val="TekstprzypisukocowegoZnak"/>
    <w:uiPriority w:val="99"/>
    <w:semiHidden/>
    <w:unhideWhenUsed/>
    <w:rsid w:val="00421C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C35"/>
    <w:rPr>
      <w:rFonts w:eastAsiaTheme="minorEastAsia"/>
      <w:sz w:val="20"/>
      <w:szCs w:val="20"/>
      <w:lang w:eastAsia="pl-PL"/>
    </w:rPr>
  </w:style>
  <w:style w:type="character" w:styleId="Odwoanieprzypisukocowego">
    <w:name w:val="endnote reference"/>
    <w:basedOn w:val="Domylnaczcionkaakapitu"/>
    <w:uiPriority w:val="99"/>
    <w:semiHidden/>
    <w:unhideWhenUsed/>
    <w:rsid w:val="00421C35"/>
    <w:rPr>
      <w:vertAlign w:val="superscript"/>
    </w:rPr>
  </w:style>
  <w:style w:type="paragraph" w:styleId="Poprawka">
    <w:name w:val="Revision"/>
    <w:hidden/>
    <w:uiPriority w:val="99"/>
    <w:semiHidden/>
    <w:rsid w:val="005C4BFA"/>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50035278">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1675064686">
          <w:marLeft w:val="446"/>
          <w:marRight w:val="0"/>
          <w:marTop w:val="0"/>
          <w:marBottom w:val="0"/>
          <w:divBdr>
            <w:top w:val="none" w:sz="0" w:space="0" w:color="auto"/>
            <w:left w:val="none" w:sz="0" w:space="0" w:color="auto"/>
            <w:bottom w:val="none" w:sz="0" w:space="0" w:color="auto"/>
            <w:right w:val="none" w:sz="0" w:space="0" w:color="auto"/>
          </w:divBdr>
        </w:div>
      </w:divsChild>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379286382">
          <w:marLeft w:val="0"/>
          <w:marRight w:val="0"/>
          <w:marTop w:val="0"/>
          <w:marBottom w:val="0"/>
          <w:divBdr>
            <w:top w:val="none" w:sz="0" w:space="0" w:color="auto"/>
            <w:left w:val="none" w:sz="0" w:space="0" w:color="auto"/>
            <w:bottom w:val="none" w:sz="0" w:space="0" w:color="auto"/>
            <w:right w:val="none" w:sz="0" w:space="0" w:color="auto"/>
          </w:divBdr>
        </w:div>
        <w:div w:id="133564371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931746961">
          <w:marLeft w:val="0"/>
          <w:marRight w:val="0"/>
          <w:marTop w:val="0"/>
          <w:marBottom w:val="0"/>
          <w:divBdr>
            <w:top w:val="none" w:sz="0" w:space="0" w:color="auto"/>
            <w:left w:val="none" w:sz="0" w:space="0" w:color="auto"/>
            <w:bottom w:val="none" w:sz="0" w:space="0" w:color="auto"/>
            <w:right w:val="none" w:sz="0" w:space="0" w:color="auto"/>
          </w:divBdr>
        </w:div>
        <w:div w:id="121604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9743-9910-4DF3-9F13-F1D07F1D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1701</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Gurba CITTRU UJ</dc:creator>
  <cp:keywords/>
  <dc:description/>
  <cp:lastModifiedBy>Gabriela Konopka-Cupiał</cp:lastModifiedBy>
  <cp:revision>4</cp:revision>
  <cp:lastPrinted>2019-04-18T06:35:00Z</cp:lastPrinted>
  <dcterms:created xsi:type="dcterms:W3CDTF">2020-01-17T08:16:00Z</dcterms:created>
  <dcterms:modified xsi:type="dcterms:W3CDTF">2020-01-20T07:06:00Z</dcterms:modified>
</cp:coreProperties>
</file>